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B" w:rsidRDefault="0011370B" w:rsidP="0011370B">
      <w:pPr>
        <w:pStyle w:val="NoSpacing"/>
        <w:rPr>
          <w:rFonts w:ascii="Times New Roman" w:hAnsi="Times New Roman"/>
          <w:noProof/>
          <w:sz w:val="28"/>
          <w:szCs w:val="28"/>
          <w:lang w:val="sr-Cyrl-BA"/>
        </w:rPr>
      </w:pP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8"/>
          <w:szCs w:val="28"/>
          <w:lang w:val="sr-Cyrl-BA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ZAKON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O</w:t>
      </w:r>
      <w:r w:rsidRPr="0011370B">
        <w:rPr>
          <w:rFonts w:ascii="Times New Roman" w:hAnsi="Times New Roman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ZAŠTITI</w:t>
      </w:r>
      <w:r w:rsidRPr="0011370B">
        <w:rPr>
          <w:rFonts w:ascii="Times New Roman" w:hAnsi="Times New Roman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OD</w:t>
      </w:r>
      <w:r w:rsidRPr="0011370B">
        <w:rPr>
          <w:rFonts w:ascii="Times New Roman" w:hAnsi="Times New Roman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UZNEMIRAVANJA</w:t>
      </w:r>
      <w:r w:rsidRPr="0011370B">
        <w:rPr>
          <w:rFonts w:ascii="Times New Roman" w:hAnsi="Times New Roman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NA</w:t>
      </w:r>
      <w:r w:rsidRPr="0011370B">
        <w:rPr>
          <w:rFonts w:ascii="Times New Roman" w:hAnsi="Times New Roman"/>
          <w:b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Latn-CS"/>
        </w:rPr>
        <w:t>RADU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8"/>
          <w:szCs w:val="28"/>
          <w:lang w:val="sr-Latn-CS"/>
        </w:rPr>
      </w:pPr>
    </w:p>
    <w:p w:rsid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I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OSNOVNE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primjenjuju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Pojedini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upotrijebljeni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sljedeće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podstrekavanje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pomaganje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savjeta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prepreka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povjereni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primjenjuju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diskriminacije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obligacionih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izvršnog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inspekcija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zdravstvene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Pojedini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upotrijebljeni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ženskog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podrazumijevaju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II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RADU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grupi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psihičke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seksualne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povremenim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učestalim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pasivnim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Vršilac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podstrekava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napad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nastupila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prouzrokovao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bol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ponižavajuće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uvredljivo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psihičke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ugled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integritet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mentalnom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kompromitovati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seksualne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verbalno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neverbalno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uzrokovati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zastrašujuće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neprijateljsko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degradirajuće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ponižavajuće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uvredljivo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Radnjama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napad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prijetnja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napadom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verbalno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napadanje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obraćanje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prijetnju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vrijeđanje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neprimjereno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komentarisanje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osobina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vulgarnih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>
        <w:rPr>
          <w:rFonts w:ascii="Times New Roman" w:hAnsi="Times New Roman"/>
          <w:noProof/>
          <w:sz w:val="24"/>
          <w:szCs w:val="24"/>
          <w:lang w:val="sr-Latn-CS"/>
        </w:rPr>
        <w:t>neopravdano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komuniciranja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>
        <w:rPr>
          <w:rFonts w:ascii="Times New Roman" w:hAnsi="Times New Roman"/>
          <w:noProof/>
          <w:sz w:val="24"/>
          <w:szCs w:val="24"/>
          <w:lang w:val="sr-Latn-CS"/>
        </w:rPr>
        <w:t>neopravdano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uskraćivanje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namjerno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pogrešnih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neadekvatno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neosnovano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preopterećivanje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zadacima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>
        <w:rPr>
          <w:rFonts w:ascii="Times New Roman" w:hAnsi="Times New Roman"/>
          <w:noProof/>
          <w:sz w:val="24"/>
          <w:szCs w:val="24"/>
          <w:lang w:val="sr-Latn-CS"/>
        </w:rPr>
        <w:t>dodjeljivanje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neadekvatnih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>
        <w:rPr>
          <w:rFonts w:ascii="Times New Roman" w:hAnsi="Times New Roman"/>
          <w:noProof/>
          <w:sz w:val="24"/>
          <w:szCs w:val="24"/>
          <w:lang w:val="sr-Latn-CS"/>
        </w:rPr>
        <w:t>neopravdano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omalovažavanje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10)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zahtijevanje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>
        <w:rPr>
          <w:rFonts w:ascii="Times New Roman" w:hAnsi="Times New Roman"/>
          <w:noProof/>
          <w:sz w:val="24"/>
          <w:szCs w:val="24"/>
          <w:lang w:val="sr-Latn-CS"/>
        </w:rPr>
        <w:t>neosnovano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uskraćivanje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ugleda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integriteta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izazivaju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neprijateljsko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degradirajuće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ponižavajuće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uvredljivo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pogoršavaju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izoluje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otkaže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III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OBAVEZE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RADNIKA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uzdrže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Zloupotrebu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nanese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zloupotrijebi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odgovoran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povredu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obezbijedi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obezbijedi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mjerama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uzrocima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oblicima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posljedicama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sindikata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615F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informativnih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sastanaka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oglasnoj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isticanjem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plakata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pamfleta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Cyrl-BA"/>
        </w:rPr>
      </w:pPr>
    </w:p>
    <w:p w:rsid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Cyrl-BA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vršeći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prouzrokuje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obligacionih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prouzrokovalo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isplaćene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IV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OSTVARIVANJE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RADU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posljednji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sindikata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saznanju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highlight w:val="yellow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sindikata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povjerljive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saopštavati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(5)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obezbjeđenja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tajnosti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(6)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oglasnoj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16.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highlight w:val="yellow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zaključivanjem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obustavljanju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17.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highlight w:val="yellow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usmjerene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sadržavati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nematerijalne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pretrpio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prijedlog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podigne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podnošenje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prijedloga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mirno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rješavanje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podizanje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tužbe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uslovljeno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prethodnim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obraćanjem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zahtjevom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prijedloga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uslovljeno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obraćanjem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prijedloga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mjeseca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posljednji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mjeseca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(5)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mjeseca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obustavljanja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mjeseci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posljednji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(6)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19.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sljedećih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z w:val="24"/>
          <w:szCs w:val="24"/>
          <w:lang w:val="sr-Latn-CS"/>
        </w:rPr>
        <w:t>premještaj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mjesto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udaljenje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20.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odgađanja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obavijesti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vrijeme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prosječne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mjeseca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21.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miritelj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arbitar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ocijeni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22.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vjerovatnim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dokazivanja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23.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tužbenom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zahtjevu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pretrpio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ponavljanja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uklanjanja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posljedica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nematerijalne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povodom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Cyrl-BA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24.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11370B" w:rsidRPr="0011370B" w:rsidRDefault="0011370B" w:rsidP="001137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nepovoljniji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11370B" w:rsidRPr="0011370B" w:rsidRDefault="0011370B" w:rsidP="001137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11370B" w:rsidRPr="0011370B" w:rsidRDefault="0011370B" w:rsidP="001137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3) </w:t>
      </w:r>
      <w:r>
        <w:rPr>
          <w:rFonts w:ascii="Times New Roman" w:hAnsi="Times New Roman"/>
          <w:noProof/>
          <w:sz w:val="24"/>
          <w:szCs w:val="24"/>
          <w:lang w:val="sr-Latn-CS"/>
        </w:rPr>
        <w:t>otkaz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viškom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prisustvovalo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svjedočilo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odbilo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namjeru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V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KAZNENE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25.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primjenom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primjenom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dijelu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26.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highlight w:val="yellow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2.000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9.000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z w:val="24"/>
          <w:szCs w:val="24"/>
          <w:lang w:val="sr-Latn-CS"/>
        </w:rPr>
        <w:t>zloupotrebi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sindikata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658E9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osposobljavanje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2).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900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27.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3.000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12.000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pacing w:val="4"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1)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organizuje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proces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način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spriječi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uznemiravanje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pacing w:val="4"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10),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obezbijedi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14),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rješenje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obustavljanju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3),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17),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mjeru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19),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neravnopravan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otkaže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proglasi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viškom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1),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300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1.200 </w:t>
      </w:r>
      <w:r>
        <w:rPr>
          <w:rFonts w:ascii="Times New Roman" w:hAnsi="Times New Roman"/>
          <w:noProof/>
          <w:sz w:val="24"/>
          <w:szCs w:val="24"/>
          <w:lang w:val="sr-Latn-CS"/>
        </w:rPr>
        <w:t>KM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VI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PRELAZNA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ZAVRŠNA</w:t>
      </w:r>
      <w:r w:rsidRPr="0011370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ODREDBA</w:t>
      </w:r>
    </w:p>
    <w:p w:rsidR="0011370B" w:rsidRPr="0011370B" w:rsidRDefault="0011370B" w:rsidP="0011370B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28.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mjeseci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uznemiravanja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okončani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okončaće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29.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>“.</w:t>
      </w: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1370B" w:rsidRPr="0011370B" w:rsidRDefault="0011370B" w:rsidP="0011370B">
      <w:pPr>
        <w:tabs>
          <w:tab w:val="left" w:pos="6570"/>
        </w:tabs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F33B1">
        <w:rPr>
          <w:rFonts w:ascii="Times New Roman" w:hAnsi="Times New Roman"/>
          <w:noProof/>
          <w:sz w:val="24"/>
          <w:szCs w:val="24"/>
          <w:lang w:val="sr-Latn-CS"/>
        </w:rPr>
        <w:t>: 02/1-021-741</w:t>
      </w:r>
      <w:bookmarkStart w:id="0" w:name="_GoBack"/>
      <w:bookmarkEnd w:id="0"/>
      <w:r w:rsidRPr="0011370B">
        <w:rPr>
          <w:rFonts w:ascii="Times New Roman" w:hAnsi="Times New Roman"/>
          <w:noProof/>
          <w:sz w:val="24"/>
          <w:szCs w:val="24"/>
          <w:lang w:val="sr-Latn-CS"/>
        </w:rPr>
        <w:t>/21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PREDSJEDNIK</w:t>
      </w:r>
    </w:p>
    <w:p w:rsidR="0011370B" w:rsidRPr="0011370B" w:rsidRDefault="0011370B" w:rsidP="0011370B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: 30.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1370B" w:rsidRPr="0011370B" w:rsidRDefault="0011370B" w:rsidP="0011370B">
      <w:pPr>
        <w:tabs>
          <w:tab w:val="left" w:pos="630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</w:p>
    <w:p w:rsidR="0011370B" w:rsidRPr="0011370B" w:rsidRDefault="0011370B" w:rsidP="0011370B">
      <w:pPr>
        <w:tabs>
          <w:tab w:val="left" w:pos="630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Nedeljko</w:t>
      </w:r>
      <w:r w:rsidRPr="0011370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Čubrilović</w:t>
      </w:r>
    </w:p>
    <w:p w:rsidR="00552D70" w:rsidRPr="0011370B" w:rsidRDefault="00552D70">
      <w:pPr>
        <w:rPr>
          <w:noProof/>
          <w:lang w:val="sr-Latn-CS"/>
        </w:rPr>
      </w:pPr>
    </w:p>
    <w:sectPr w:rsidR="00552D70" w:rsidRPr="0011370B" w:rsidSect="00CE4746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00"/>
    <w:rsid w:val="0011370B"/>
    <w:rsid w:val="00552D70"/>
    <w:rsid w:val="005A2B00"/>
    <w:rsid w:val="00615FE8"/>
    <w:rsid w:val="00672AAA"/>
    <w:rsid w:val="008E60ED"/>
    <w:rsid w:val="008F33B1"/>
    <w:rsid w:val="00962744"/>
    <w:rsid w:val="009658E9"/>
    <w:rsid w:val="009F564A"/>
    <w:rsid w:val="00A34DA6"/>
    <w:rsid w:val="00A36B20"/>
    <w:rsid w:val="00A6432B"/>
    <w:rsid w:val="00AB766B"/>
    <w:rsid w:val="00BF60DD"/>
    <w:rsid w:val="00DC0A39"/>
    <w:rsid w:val="00DD7D34"/>
    <w:rsid w:val="00E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0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370B"/>
    <w:pPr>
      <w:spacing w:after="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0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370B"/>
    <w:pPr>
      <w:spacing w:after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Timotija</dc:creator>
  <cp:keywords/>
  <dc:description/>
  <cp:lastModifiedBy>Ljiljana Timotija</cp:lastModifiedBy>
  <cp:revision>6</cp:revision>
  <cp:lastPrinted>2021-09-30T11:37:00Z</cp:lastPrinted>
  <dcterms:created xsi:type="dcterms:W3CDTF">2021-09-28T10:51:00Z</dcterms:created>
  <dcterms:modified xsi:type="dcterms:W3CDTF">2021-10-04T07:30:00Z</dcterms:modified>
</cp:coreProperties>
</file>