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D0" w:rsidRPr="004C00D0" w:rsidRDefault="004C00D0" w:rsidP="004C00D0">
      <w:pPr>
        <w:jc w:val="center"/>
        <w:rPr>
          <w:b/>
          <w:color w:val="000000" w:themeColor="text1"/>
          <w:sz w:val="24"/>
          <w:szCs w:val="24"/>
        </w:rPr>
      </w:pPr>
      <w:bookmarkStart w:id="0" w:name="_GoBack"/>
      <w:bookmarkEnd w:id="0"/>
      <w:r w:rsidRPr="004C00D0">
        <w:rPr>
          <w:b/>
          <w:color w:val="000000" w:themeColor="text1"/>
          <w:sz w:val="24"/>
          <w:szCs w:val="24"/>
        </w:rPr>
        <w:t>ALTERNATIVNI CEDAW IZVJEŠTAJ:</w:t>
      </w:r>
    </w:p>
    <w:p w:rsidR="004C00D0" w:rsidRPr="004C00D0" w:rsidRDefault="004C00D0" w:rsidP="004C00D0">
      <w:pPr>
        <w:pStyle w:val="ListParagraph"/>
        <w:jc w:val="center"/>
        <w:rPr>
          <w:b/>
          <w:color w:val="000000" w:themeColor="text1"/>
          <w:sz w:val="24"/>
          <w:szCs w:val="24"/>
          <w:lang w:val="hr-BA"/>
        </w:rPr>
      </w:pPr>
      <w:r w:rsidRPr="004C00D0">
        <w:rPr>
          <w:b/>
          <w:color w:val="000000" w:themeColor="text1"/>
          <w:sz w:val="24"/>
          <w:szCs w:val="24"/>
          <w:lang w:val="hr-BA"/>
        </w:rPr>
        <w:t>IZVJEŠTAJ ORGANIZACIJA</w:t>
      </w:r>
      <w:r w:rsidR="00317EAA">
        <w:rPr>
          <w:b/>
          <w:color w:val="000000" w:themeColor="text1"/>
          <w:sz w:val="24"/>
          <w:szCs w:val="24"/>
          <w:lang w:val="hr-BA"/>
        </w:rPr>
        <w:t xml:space="preserve"> CIVILNOG DRU</w:t>
      </w:r>
      <w:r w:rsidR="00317EAA">
        <w:rPr>
          <w:b/>
          <w:color w:val="000000" w:themeColor="text1"/>
          <w:sz w:val="24"/>
          <w:szCs w:val="24"/>
          <w:lang w:val="sr-Latn-BA"/>
        </w:rPr>
        <w:t>ŠTVA</w:t>
      </w:r>
      <w:r w:rsidRPr="004C00D0">
        <w:rPr>
          <w:b/>
          <w:color w:val="000000" w:themeColor="text1"/>
          <w:sz w:val="24"/>
          <w:szCs w:val="24"/>
          <w:lang w:val="hr-BA"/>
        </w:rPr>
        <w:t xml:space="preserve"> O PRIMJENI ZAKLJUČNIH ZAPAŽANJA I PREPORUKA CEDAW KOMITETA ZA BOSNU I HERCEGOVINU</w:t>
      </w:r>
    </w:p>
    <w:p w:rsidR="004C00D0" w:rsidRPr="004C00D0" w:rsidRDefault="00966805" w:rsidP="004C00D0">
      <w:pPr>
        <w:jc w:val="center"/>
        <w:rPr>
          <w:b/>
          <w:color w:val="000000" w:themeColor="text1"/>
          <w:sz w:val="24"/>
          <w:szCs w:val="24"/>
        </w:rPr>
      </w:pPr>
      <w:r>
        <w:rPr>
          <w:b/>
          <w:color w:val="000000" w:themeColor="text1"/>
          <w:sz w:val="24"/>
          <w:szCs w:val="24"/>
        </w:rPr>
        <w:t>2013 - 2017</w:t>
      </w:r>
    </w:p>
    <w:p w:rsidR="00E411F1" w:rsidRDefault="00486D82" w:rsidP="0028252A">
      <w:pPr>
        <w:jc w:val="center"/>
        <w:rPr>
          <w:rFonts w:asciiTheme="minorHAnsi" w:eastAsiaTheme="minorHAnsi" w:hAnsiTheme="minorHAnsi" w:cs="Raleway"/>
          <w:b/>
          <w:color w:val="000000" w:themeColor="text1"/>
          <w:sz w:val="36"/>
          <w:szCs w:val="36"/>
          <w:lang w:val="sr-Latn-BA"/>
        </w:rPr>
      </w:pPr>
      <w:r w:rsidRPr="00486D82">
        <w:rPr>
          <w:rFonts w:asciiTheme="minorHAnsi" w:eastAsiaTheme="minorHAnsi" w:hAnsiTheme="minorHAnsi" w:cs="Raleway"/>
          <w:b/>
          <w:color w:val="000000" w:themeColor="text1"/>
          <w:sz w:val="36"/>
          <w:szCs w:val="36"/>
          <w:lang w:val="sr-Latn-BA"/>
        </w:rPr>
        <w:t>Nasilje nad ženama</w:t>
      </w:r>
    </w:p>
    <w:p w:rsidR="004C00D0" w:rsidRPr="008854CD" w:rsidRDefault="004F6A67" w:rsidP="004C00D0">
      <w:r>
        <w:t>Pripremil</w:t>
      </w:r>
      <w:r w:rsidR="00124515">
        <w:t>a</w:t>
      </w:r>
      <w:r w:rsidR="004C00D0" w:rsidRPr="008854CD">
        <w:t xml:space="preserve">: </w:t>
      </w:r>
      <w:r w:rsidR="00486D82" w:rsidRPr="00486D82">
        <w:t>Aleksandra Petrić</w:t>
      </w:r>
    </w:p>
    <w:p w:rsidR="004C00D0" w:rsidRPr="004C00D0" w:rsidRDefault="004C00D0"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Theme="minorHAnsi" w:hAnsiTheme="minorHAnsi" w:cs="Raleway"/>
          <w:color w:val="000000" w:themeColor="text1"/>
          <w:lang w:val="sr-Latn-BA"/>
        </w:rPr>
      </w:pPr>
    </w:p>
    <w:p w:rsidR="00E411F1" w:rsidRPr="00E411F1" w:rsidRDefault="00E411F1"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Theme="minorHAnsi" w:hAnsiTheme="minorHAnsi" w:cs="Georgia-Bold"/>
          <w:b/>
          <w:bCs/>
          <w:sz w:val="20"/>
          <w:szCs w:val="20"/>
        </w:rPr>
      </w:pPr>
      <w:r w:rsidRPr="00E411F1">
        <w:rPr>
          <w:rFonts w:asciiTheme="minorHAnsi" w:eastAsiaTheme="minorHAnsi" w:hAnsiTheme="minorHAnsi" w:cs="Georgia-Bold"/>
          <w:b/>
          <w:bCs/>
          <w:sz w:val="20"/>
          <w:szCs w:val="20"/>
        </w:rPr>
        <w:t>Zak</w:t>
      </w:r>
      <w:r w:rsidR="005F4A56">
        <w:rPr>
          <w:rFonts w:asciiTheme="minorHAnsi" w:eastAsiaTheme="minorHAnsi" w:hAnsiTheme="minorHAnsi" w:cs="Georgia-Bold"/>
          <w:b/>
          <w:bCs/>
          <w:sz w:val="20"/>
          <w:szCs w:val="20"/>
        </w:rPr>
        <w:t xml:space="preserve">ljučni komentar </w:t>
      </w:r>
      <w:r w:rsidR="00486D82">
        <w:rPr>
          <w:rFonts w:asciiTheme="minorHAnsi" w:eastAsiaTheme="minorHAnsi" w:hAnsiTheme="minorHAnsi" w:cs="Georgia-Bold"/>
          <w:b/>
          <w:bCs/>
          <w:sz w:val="20"/>
          <w:szCs w:val="20"/>
        </w:rPr>
        <w:t>Komiteta br. 21</w:t>
      </w:r>
      <w:r w:rsidRPr="00E411F1">
        <w:rPr>
          <w:rFonts w:asciiTheme="minorHAnsi" w:eastAsiaTheme="minorHAnsi" w:hAnsiTheme="minorHAnsi" w:cs="Georgia-Bold"/>
          <w:b/>
          <w:bCs/>
          <w:sz w:val="20"/>
          <w:szCs w:val="20"/>
        </w:rPr>
        <w:t xml:space="preserve">: </w:t>
      </w:r>
    </w:p>
    <w:p w:rsidR="00FB78B2" w:rsidRPr="00FB78B2" w:rsidRDefault="00FB78B2"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Theme="minorHAnsi" w:hAnsiTheme="minorHAnsi" w:cs="Georgia-Bold"/>
          <w:b/>
          <w:bCs/>
          <w:sz w:val="20"/>
          <w:szCs w:val="20"/>
          <w:lang w:val="sr-Latn-BA"/>
        </w:rPr>
      </w:pPr>
    </w:p>
    <w:p w:rsidR="005F4A56" w:rsidRDefault="00486D82"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r w:rsidRPr="00486D82">
        <w:rPr>
          <w:rFonts w:asciiTheme="minorHAnsi" w:eastAsia="Georgia-Italic" w:hAnsiTheme="minorHAnsi" w:cs="Georgia-Italic"/>
          <w:i/>
          <w:iCs/>
          <w:sz w:val="20"/>
          <w:szCs w:val="20"/>
        </w:rPr>
        <w:t>Iako pozdravlja povećane napore zemlje članice u suzbijanju nasilja u porodici, Komitet stalno izražava svoju ozbiljnu zabrinutost zbog visoke rasprostranjenosti nasilja u porodici i pomanjkanja mehanizama za praćenje i odgovornosti u pogledu provođenja postojećih strategija kako na nivou države tako i na nivou entiteta; nedovoljnog prikupljanja podataka radi procjene fenomena nasilja u porodici; i nedovoljne podrške uslugama koje zavise od nevladinih organizacija i inostranog finansiranja. Komitet nadalje izražava zabrinutost zbog nedosljedne primjene zakona koji regulišu nasilje u porodici na sudovima u oba entiteta, što podriva povjerenje žena u pravosudni sistem uprkos sveobuhvatnom zakonskom okviru koji je na snazi; kao i zbog nedovoljnog prijavljivanja nasilja u porodici, ograničenog broja izrečenih zaštitnih mjera i blage kaznene politike, uključujući ogroman procenat uslovnih osuda. Dodatno, Komitet izražava žaljenje zbog nedostatka informacija koje se odnose na BD BiH i nedovoljnih informacija o drugim oblicima nasilja nad ženama u zemlji članici.</w:t>
      </w:r>
    </w:p>
    <w:p w:rsidR="00486D82" w:rsidRPr="00FB78B2" w:rsidRDefault="00486D82"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lang w:val="sr-Latn-BA"/>
        </w:rPr>
      </w:pPr>
    </w:p>
    <w:p w:rsidR="00E411F1" w:rsidRPr="00E411F1" w:rsidRDefault="00486D82"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Theme="minorHAnsi" w:hAnsiTheme="minorHAnsi" w:cs="Georgia-Bold"/>
          <w:b/>
          <w:bCs/>
          <w:sz w:val="20"/>
          <w:szCs w:val="20"/>
        </w:rPr>
      </w:pPr>
      <w:r>
        <w:rPr>
          <w:rFonts w:asciiTheme="minorHAnsi" w:eastAsiaTheme="minorHAnsi" w:hAnsiTheme="minorHAnsi" w:cs="Georgia-Bold"/>
          <w:b/>
          <w:bCs/>
          <w:sz w:val="20"/>
          <w:szCs w:val="20"/>
        </w:rPr>
        <w:t>Preporuka Komiteta 22</w:t>
      </w:r>
      <w:r w:rsidR="00E411F1" w:rsidRPr="00E411F1">
        <w:rPr>
          <w:rFonts w:asciiTheme="minorHAnsi" w:eastAsiaTheme="minorHAnsi" w:hAnsiTheme="minorHAnsi" w:cs="Georgia-Bold"/>
          <w:b/>
          <w:bCs/>
          <w:sz w:val="20"/>
          <w:szCs w:val="20"/>
        </w:rPr>
        <w:t xml:space="preserve">:  </w:t>
      </w:r>
    </w:p>
    <w:p w:rsidR="00FB78B2" w:rsidRPr="00FB78B2" w:rsidRDefault="00FB78B2"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Theme="minorHAnsi" w:hAnsiTheme="minorHAnsi" w:cs="Georgia-Bold"/>
          <w:b/>
          <w:bCs/>
          <w:sz w:val="20"/>
          <w:szCs w:val="20"/>
          <w:lang w:val="sr-Latn-BA"/>
        </w:rPr>
      </w:pPr>
    </w:p>
    <w:p w:rsidR="00486D82" w:rsidRDefault="00486D82"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r w:rsidRPr="00486D82">
        <w:rPr>
          <w:rFonts w:asciiTheme="minorHAnsi" w:eastAsia="Georgia-Italic" w:hAnsiTheme="minorHAnsi" w:cs="Georgia-Italic"/>
          <w:i/>
          <w:iCs/>
          <w:sz w:val="20"/>
          <w:szCs w:val="20"/>
        </w:rPr>
        <w:t>Komitet preporučuje da zemlja članica: (a) uspostavi djelotvorne institucionalne mehanizme za koordinaciju, praćenje i ocjenu efikasnosti uticaja razvijenih strategija i preduzetih mjera sa ciljem da osigura dosljednu primjenu zakona na svim nivoima; (b) ohrabri žene da prijave slučajeve nasilja u porodici destigmatizacijom žrtava i podizanjem svijesti o zločinačkoj prirodi ovakvih djela i pojača svoje napore da osigura da svi prijavljeni slučajevi porodičnog i seksualnog nasilja nad ženama i djevojčicama budu efikasno istraženi i da počinioci budu procesuirani i osuđeni srazmjerno težini djela; (c) prikuplja statističke podatke o nasilu u porodici, uključujući femicid, razvrstane po spolu, dobi i vezi između žrtve i počinioca, i da preduzme istraživanje o obimu svih oblika nasilja nad ženama i njihovim korijenima i uzrocima; (d) osigura obaveznu obuku za sudije, advokate i policijske službenike o jedinstvenoj primjeni postojećeg pravnog okvira, uključujući definiciju nasilja u porodici i o rodnim stereotipima; i (e) osigura odgovarajuću podršku, zaštitu i rehabilitaciju ženama žrtvama svih oblika nasilja, uključujući jačanje kapaciteta postojećih skloništa i proširenje saradnje i finansiranje nevladinih organizacija koje obezbjeđuju sklonište i rehabilitaciju žrtvama.</w:t>
      </w:r>
    </w:p>
    <w:p w:rsidR="00486D82" w:rsidRDefault="00486D82" w:rsidP="005F4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Georgia-Italic" w:hAnsiTheme="minorHAnsi" w:cs="Georgia-Italic"/>
          <w:i/>
          <w:iCs/>
          <w:sz w:val="20"/>
          <w:szCs w:val="20"/>
        </w:rPr>
      </w:pPr>
    </w:p>
    <w:p w:rsidR="00756D5E" w:rsidRDefault="00756D5E">
      <w:pPr>
        <w:rPr>
          <w:rFonts w:asciiTheme="minorHAnsi" w:eastAsia="Georgia-Italic" w:hAnsiTheme="minorHAnsi" w:cs="Georgia-Italic"/>
          <w:i/>
          <w:iCs/>
          <w:sz w:val="20"/>
          <w:szCs w:val="20"/>
        </w:rPr>
      </w:pPr>
    </w:p>
    <w:p w:rsidR="00486D82" w:rsidRDefault="00486D82"/>
    <w:p w:rsidR="00E411F1" w:rsidRDefault="00AD7BF9" w:rsidP="00E411F1">
      <w:pPr>
        <w:rPr>
          <w:b/>
          <w:sz w:val="24"/>
          <w:szCs w:val="24"/>
        </w:rPr>
      </w:pPr>
      <w:r>
        <w:rPr>
          <w:b/>
          <w:sz w:val="24"/>
          <w:szCs w:val="24"/>
        </w:rPr>
        <w:t>UVOD</w:t>
      </w:r>
    </w:p>
    <w:p w:rsidR="009306BA" w:rsidRDefault="009306BA" w:rsidP="009306BA">
      <w:pPr>
        <w:autoSpaceDE w:val="0"/>
        <w:autoSpaceDN w:val="0"/>
        <w:adjustRightInd w:val="0"/>
        <w:spacing w:after="0" w:line="240" w:lineRule="auto"/>
        <w:jc w:val="both"/>
        <w:rPr>
          <w:sz w:val="24"/>
          <w:szCs w:val="24"/>
        </w:rPr>
      </w:pPr>
      <w:r w:rsidRPr="009306BA">
        <w:rPr>
          <w:sz w:val="24"/>
          <w:szCs w:val="24"/>
        </w:rPr>
        <w:t xml:space="preserve">Nasilje nad ženama ostaje i opstaje u BiH kao široko rasprostranjeno kršenje ljudskih prava, bez značajnijeg napretka u pravcu prepoznavanja različitih oblika nasilja kojima su svakodnevno i kroz cijeli svoj životni vijek izložene žene svih životnih dobi. I pored obavezanosti na primjenu međunarodnih standarda kroz ratifikaciju ključnih međunarodnih konvencija, važeći propisi i javne politike u BiH ne prepoznaju nasilje nad ženama kao specifičan oblik rodno zasnovanog nasilja, već koriste rodno neutralne definicije, što </w:t>
      </w:r>
      <w:r w:rsidRPr="009306BA">
        <w:rPr>
          <w:sz w:val="24"/>
          <w:szCs w:val="24"/>
        </w:rPr>
        <w:lastRenderedPageBreak/>
        <w:t>značajno doprinosi minimiziranju stepena društvene opasnosti različitih oblika nasilja kojima su žene izložene u privatnoj i javnoj sferi života.</w:t>
      </w:r>
    </w:p>
    <w:p w:rsidR="007E5FD5" w:rsidRPr="009306BA" w:rsidRDefault="007E5FD5" w:rsidP="009306BA">
      <w:pPr>
        <w:autoSpaceDE w:val="0"/>
        <w:autoSpaceDN w:val="0"/>
        <w:adjustRightInd w:val="0"/>
        <w:spacing w:after="0" w:line="240" w:lineRule="auto"/>
        <w:jc w:val="both"/>
        <w:rPr>
          <w:sz w:val="24"/>
          <w:szCs w:val="24"/>
        </w:rPr>
      </w:pPr>
    </w:p>
    <w:p w:rsidR="009306BA" w:rsidRDefault="009306BA" w:rsidP="009306BA">
      <w:pPr>
        <w:autoSpaceDE w:val="0"/>
        <w:autoSpaceDN w:val="0"/>
        <w:adjustRightInd w:val="0"/>
        <w:spacing w:after="0" w:line="240" w:lineRule="auto"/>
        <w:jc w:val="both"/>
        <w:rPr>
          <w:sz w:val="24"/>
          <w:szCs w:val="24"/>
        </w:rPr>
      </w:pPr>
      <w:r w:rsidRPr="009306BA">
        <w:rPr>
          <w:sz w:val="24"/>
          <w:szCs w:val="24"/>
        </w:rPr>
        <w:t xml:space="preserve">Vladine institucije u BiH nisu osigurale mehanizme za kontinuirano, dostupno i senzibilisano pružanje informacija o pravima i dostupnoj podršci i pomoći za žene izložene nasilju i provođenje stalnih javnih informativnih kampanja o uzrocima, posljedicama i zakonskim odnosno kaznenim mjerama protiv počinilaca nasilja u cilju podizanja svijesti javnosti i opšte prevencije. Žene izložene nasilju još uvijek nemaju osiguran nesmetani pristup sistemskoj, efikasnoj i senzibilisanoj podršci i pomoći i suočavaju se sa različitim oblicima predrasuda i diskriminacije, kako u svom neposrednom okruženju, tako i od profesionalaca/ki koji rade u institucijama čije su obaveze i ovlaštenja u tom pravcu direktno regulisana </w:t>
      </w:r>
      <w:r w:rsidR="007E5FD5">
        <w:rPr>
          <w:sz w:val="24"/>
          <w:szCs w:val="24"/>
        </w:rPr>
        <w:t>zakonima i podzakonskim aktima.</w:t>
      </w:r>
    </w:p>
    <w:p w:rsidR="007E5FD5" w:rsidRPr="009306BA" w:rsidRDefault="007E5FD5" w:rsidP="009306BA">
      <w:pPr>
        <w:autoSpaceDE w:val="0"/>
        <w:autoSpaceDN w:val="0"/>
        <w:adjustRightInd w:val="0"/>
        <w:spacing w:after="0" w:line="240" w:lineRule="auto"/>
        <w:jc w:val="both"/>
        <w:rPr>
          <w:sz w:val="24"/>
          <w:szCs w:val="24"/>
        </w:rPr>
      </w:pPr>
    </w:p>
    <w:p w:rsidR="009306BA" w:rsidRDefault="009306BA" w:rsidP="009306BA">
      <w:pPr>
        <w:autoSpaceDE w:val="0"/>
        <w:autoSpaceDN w:val="0"/>
        <w:adjustRightInd w:val="0"/>
        <w:spacing w:after="0" w:line="240" w:lineRule="auto"/>
        <w:jc w:val="both"/>
        <w:rPr>
          <w:sz w:val="24"/>
          <w:szCs w:val="24"/>
        </w:rPr>
      </w:pPr>
      <w:r w:rsidRPr="009306BA">
        <w:rPr>
          <w:sz w:val="24"/>
          <w:szCs w:val="24"/>
        </w:rPr>
        <w:t>BiiH je propustila da osigura kontinuiranu i efikasnu koordinaciju i saradnju vladinih institucija na svim nivoima u kontekstu sprečavanja i suzbijanja nasilja nad ženama, kao i da uskladi zakone i javne politike entiteta u ovoj oblasti, što direktno onemogućava osiguravanje jednakog statusa i zaštite prava žena koje su preživjele nasilje i njihovog pristupa pravdi. Sigurne kuće, koje vode nevladine organizacije, nemaju jednak pravni status u oba entiteta BiH, kao ni osiguranu sistemsku podršku, što direktno ugrožava postojeće ograničene servise pomoći ženama u periodu akutnog nasilja. U BD BiH, kao posebnoj administrativnoj jedinici BiH, uspostavljeni su institucionalni mehanizmi za ravnopravnost spolova, međutim njihovo aktivnije djelovanje u pravcu sprečavanja i suzbijanja nasilja nad ženama traži snažniju sistemsku podršku kroz podizanje kapaciteta profesionalaca/ki, rodno odgovorno budžetiranje i sinergijsko djelovanje sa nevladinim organizacijama.</w:t>
      </w:r>
    </w:p>
    <w:p w:rsidR="007E5FD5" w:rsidRPr="009306BA" w:rsidRDefault="007E5FD5" w:rsidP="009306BA">
      <w:pPr>
        <w:autoSpaceDE w:val="0"/>
        <w:autoSpaceDN w:val="0"/>
        <w:adjustRightInd w:val="0"/>
        <w:spacing w:after="0" w:line="240" w:lineRule="auto"/>
        <w:jc w:val="both"/>
        <w:rPr>
          <w:sz w:val="24"/>
          <w:szCs w:val="24"/>
        </w:rPr>
      </w:pPr>
    </w:p>
    <w:p w:rsidR="009306BA" w:rsidRPr="009306BA" w:rsidRDefault="009306BA" w:rsidP="009306BA">
      <w:pPr>
        <w:autoSpaceDE w:val="0"/>
        <w:autoSpaceDN w:val="0"/>
        <w:adjustRightInd w:val="0"/>
        <w:spacing w:after="0" w:line="240" w:lineRule="auto"/>
        <w:jc w:val="both"/>
        <w:rPr>
          <w:sz w:val="24"/>
          <w:szCs w:val="24"/>
        </w:rPr>
      </w:pPr>
      <w:r w:rsidRPr="009306BA">
        <w:rPr>
          <w:sz w:val="24"/>
          <w:szCs w:val="24"/>
        </w:rPr>
        <w:t xml:space="preserve">Aktivnosti vladinih institucija na svim nivoima, a naročito entitetskim, državnom i na nivou BD BiH ukazuju na spor napredak u pravcu ispunjavanja međunarodnih standarda i obaveza koje se BiH obavezala poštovati, uključujući i </w:t>
      </w:r>
      <w:r w:rsidRPr="007E5FD5">
        <w:rPr>
          <w:i/>
          <w:sz w:val="24"/>
          <w:szCs w:val="24"/>
        </w:rPr>
        <w:t>Konvencije Vijeća Evrope o sprečavanju i suzbijanju nasilja n</w:t>
      </w:r>
      <w:r w:rsidR="006B3E25" w:rsidRPr="007E5FD5">
        <w:rPr>
          <w:i/>
          <w:sz w:val="24"/>
          <w:szCs w:val="24"/>
        </w:rPr>
        <w:t>ad ženama i nasilja u porodici</w:t>
      </w:r>
      <w:r w:rsidR="006B3E25">
        <w:rPr>
          <w:sz w:val="24"/>
          <w:szCs w:val="24"/>
        </w:rPr>
        <w:t>,</w:t>
      </w:r>
      <w:r w:rsidR="006B3E25">
        <w:rPr>
          <w:rStyle w:val="FootnoteReference"/>
          <w:sz w:val="24"/>
          <w:szCs w:val="24"/>
        </w:rPr>
        <w:footnoteReference w:id="1"/>
      </w:r>
      <w:r w:rsidRPr="009306BA">
        <w:rPr>
          <w:sz w:val="24"/>
          <w:szCs w:val="24"/>
        </w:rPr>
        <w:t xml:space="preserve"> kao i međusobne saradnje, koordinacije i partnerskog djelovanja sa nevladinim organizacijama, što je vidljivo kroz odsustvo mjerljivih i održivih indikatora napretka u oblasti sprečavanja i suzbijanja nasilja nad ženama. </w:t>
      </w:r>
    </w:p>
    <w:p w:rsidR="009306BA" w:rsidRPr="009306BA" w:rsidRDefault="009306BA" w:rsidP="009306BA">
      <w:pPr>
        <w:autoSpaceDE w:val="0"/>
        <w:autoSpaceDN w:val="0"/>
        <w:adjustRightInd w:val="0"/>
        <w:spacing w:after="0" w:line="240" w:lineRule="auto"/>
        <w:jc w:val="both"/>
        <w:rPr>
          <w:sz w:val="24"/>
          <w:szCs w:val="24"/>
        </w:rPr>
      </w:pPr>
      <w:r w:rsidRPr="009306BA">
        <w:rPr>
          <w:sz w:val="24"/>
          <w:szCs w:val="24"/>
        </w:rPr>
        <w:t xml:space="preserve"> </w:t>
      </w:r>
    </w:p>
    <w:p w:rsidR="009306BA" w:rsidRPr="009306BA" w:rsidRDefault="009306BA" w:rsidP="009306BA">
      <w:pPr>
        <w:autoSpaceDE w:val="0"/>
        <w:autoSpaceDN w:val="0"/>
        <w:adjustRightInd w:val="0"/>
        <w:spacing w:after="0" w:line="240" w:lineRule="auto"/>
        <w:jc w:val="both"/>
        <w:rPr>
          <w:b/>
          <w:sz w:val="24"/>
          <w:szCs w:val="24"/>
        </w:rPr>
      </w:pPr>
      <w:r w:rsidRPr="009306BA">
        <w:rPr>
          <w:b/>
          <w:sz w:val="24"/>
          <w:szCs w:val="24"/>
        </w:rPr>
        <w:t xml:space="preserve">NEMOGUĆNOST PRISTUPA PRAVDI I NEPOVJERENJE U SISTEM ZAŠTITE   </w:t>
      </w:r>
    </w:p>
    <w:p w:rsidR="009306BA" w:rsidRPr="009306BA" w:rsidRDefault="009306BA" w:rsidP="009306BA">
      <w:pPr>
        <w:autoSpaceDE w:val="0"/>
        <w:autoSpaceDN w:val="0"/>
        <w:adjustRightInd w:val="0"/>
        <w:spacing w:after="0" w:line="240" w:lineRule="auto"/>
        <w:jc w:val="both"/>
        <w:rPr>
          <w:sz w:val="24"/>
          <w:szCs w:val="24"/>
        </w:rPr>
      </w:pPr>
    </w:p>
    <w:p w:rsidR="009306BA" w:rsidRDefault="009306BA" w:rsidP="009306BA">
      <w:pPr>
        <w:autoSpaceDE w:val="0"/>
        <w:autoSpaceDN w:val="0"/>
        <w:adjustRightInd w:val="0"/>
        <w:spacing w:after="0" w:line="240" w:lineRule="auto"/>
        <w:jc w:val="both"/>
        <w:rPr>
          <w:sz w:val="24"/>
          <w:szCs w:val="24"/>
        </w:rPr>
      </w:pPr>
      <w:r w:rsidRPr="009306BA">
        <w:rPr>
          <w:sz w:val="24"/>
          <w:szCs w:val="24"/>
        </w:rPr>
        <w:t>Podaci vladinih institucija i nevladinih organizacija ukazuju da nasilje u porodici i partnerskim vezama u BiH i dalje predstavlja najrašireniji oblik nasilja, koji predomin</w:t>
      </w:r>
      <w:r w:rsidR="006B3E25">
        <w:rPr>
          <w:sz w:val="24"/>
          <w:szCs w:val="24"/>
        </w:rPr>
        <w:t>antno pogađa žene i djevojčice.</w:t>
      </w:r>
      <w:r w:rsidR="006B3E25">
        <w:rPr>
          <w:rStyle w:val="FootnoteReference"/>
          <w:sz w:val="24"/>
          <w:szCs w:val="24"/>
        </w:rPr>
        <w:footnoteReference w:id="2"/>
      </w:r>
      <w:r w:rsidRPr="009306BA">
        <w:rPr>
          <w:sz w:val="24"/>
          <w:szCs w:val="24"/>
        </w:rPr>
        <w:t xml:space="preserve"> Izvještaji vladinih institucija ukazuju da se pad u broju evidentiranih i </w:t>
      </w:r>
      <w:r w:rsidRPr="009306BA">
        <w:rPr>
          <w:sz w:val="24"/>
          <w:szCs w:val="24"/>
        </w:rPr>
        <w:lastRenderedPageBreak/>
        <w:t>procesuiranih slučajeva posmatra kao smanjenje nasilja,</w:t>
      </w:r>
      <w:r w:rsidR="006B3E25">
        <w:rPr>
          <w:rStyle w:val="FootnoteReference"/>
          <w:sz w:val="24"/>
          <w:szCs w:val="24"/>
        </w:rPr>
        <w:footnoteReference w:id="3"/>
      </w:r>
      <w:r w:rsidRPr="009306BA">
        <w:rPr>
          <w:sz w:val="24"/>
          <w:szCs w:val="24"/>
        </w:rPr>
        <w:t xml:space="preserve"> što ne ukazuje na stvarno stanje i zanemaruje činjenice da veliki broj žena i djevojčica koje svakodnevno doživljavaju neki od oblika nasilja u porodici širom BiH to nasilje ne prijavljuje policiji i centrima za socijalni rad, kao ni drugim institucijama koje se smatraju primarnim subjektima zaštite.</w:t>
      </w:r>
      <w:r w:rsidR="006B3E25">
        <w:rPr>
          <w:rStyle w:val="FootnoteReference"/>
          <w:sz w:val="24"/>
          <w:szCs w:val="24"/>
        </w:rPr>
        <w:footnoteReference w:id="4"/>
      </w:r>
      <w:r w:rsidRPr="009306BA">
        <w:rPr>
          <w:sz w:val="24"/>
          <w:szCs w:val="24"/>
        </w:rPr>
        <w:t xml:space="preserve"> Zabrinjava činjenica da vladine institucije sistemski i kontinuirano ne prate </w:t>
      </w:r>
      <w:r w:rsidR="006B3E25">
        <w:rPr>
          <w:sz w:val="24"/>
          <w:szCs w:val="24"/>
        </w:rPr>
        <w:t>i ne evidentiraju ubistva žena</w:t>
      </w:r>
      <w:r w:rsidR="006B3E25">
        <w:rPr>
          <w:rStyle w:val="FootnoteReference"/>
          <w:sz w:val="24"/>
          <w:szCs w:val="24"/>
        </w:rPr>
        <w:footnoteReference w:id="5"/>
      </w:r>
      <w:r w:rsidR="006B3E25">
        <w:rPr>
          <w:sz w:val="24"/>
          <w:szCs w:val="24"/>
        </w:rPr>
        <w:t xml:space="preserve"> </w:t>
      </w:r>
      <w:r w:rsidRPr="009306BA">
        <w:rPr>
          <w:sz w:val="24"/>
          <w:szCs w:val="24"/>
        </w:rPr>
        <w:t>i druge oblike rodno zasnova</w:t>
      </w:r>
      <w:r w:rsidR="006B3E25">
        <w:rPr>
          <w:sz w:val="24"/>
          <w:szCs w:val="24"/>
        </w:rPr>
        <w:t>nog nasilja prema ženama u BiH,</w:t>
      </w:r>
      <w:r w:rsidR="006B3E25">
        <w:rPr>
          <w:rStyle w:val="FootnoteReference"/>
          <w:sz w:val="24"/>
          <w:szCs w:val="24"/>
        </w:rPr>
        <w:footnoteReference w:id="6"/>
      </w:r>
      <w:r w:rsidRPr="009306BA">
        <w:rPr>
          <w:sz w:val="24"/>
          <w:szCs w:val="24"/>
        </w:rPr>
        <w:t xml:space="preserve"> što je uticalo na nedostatak procjene stvarnog stanja i planiranja adekvatnih mjera usmjerenih na sprečavanje i suzbijanje ovih oblika nasilja. Iako u oba entiteta postoje pomaci u pravcu sistemskog praćenja nasilja u porodici</w:t>
      </w:r>
      <w:r w:rsidR="006B3E25">
        <w:rPr>
          <w:sz w:val="24"/>
          <w:szCs w:val="24"/>
        </w:rPr>
        <w:t xml:space="preserve"> na nivou vladinih institucija,</w:t>
      </w:r>
      <w:r w:rsidR="006B3E25">
        <w:rPr>
          <w:rStyle w:val="FootnoteReference"/>
          <w:sz w:val="24"/>
          <w:szCs w:val="24"/>
        </w:rPr>
        <w:footnoteReference w:id="7"/>
      </w:r>
      <w:r w:rsidRPr="009306BA">
        <w:rPr>
          <w:sz w:val="24"/>
          <w:szCs w:val="24"/>
        </w:rPr>
        <w:t xml:space="preserve"> zbog razlike u zakonodavnom tretiranju nasilja u porodici (u FBiH kao krivično djelo, u RS, kao krivično djelo i prekršaj), fragmentiranog administrativnog i političkog upravljanja kao i nejasno podijeljenih nadležnosti za sprečavanje i suzbijanje nasilja nad ženama i nasilja u porodici između države i entiteta, ne postoji usaglašena metodologija prikupljanja i obrade podataka koja bi omogućila sveobuhvatnu i kontinuiranu analizu i planiranje sistemskih mjera za</w:t>
      </w:r>
      <w:r w:rsidR="007E5FD5">
        <w:rPr>
          <w:sz w:val="24"/>
          <w:szCs w:val="24"/>
        </w:rPr>
        <w:t>snovanih na stvarnim potrebama.</w:t>
      </w:r>
    </w:p>
    <w:p w:rsidR="007E5FD5" w:rsidRPr="009306BA" w:rsidRDefault="007E5FD5" w:rsidP="009306BA">
      <w:pPr>
        <w:autoSpaceDE w:val="0"/>
        <w:autoSpaceDN w:val="0"/>
        <w:adjustRightInd w:val="0"/>
        <w:spacing w:after="0" w:line="240" w:lineRule="auto"/>
        <w:jc w:val="both"/>
        <w:rPr>
          <w:sz w:val="24"/>
          <w:szCs w:val="24"/>
        </w:rPr>
      </w:pPr>
    </w:p>
    <w:p w:rsidR="009306BA" w:rsidRDefault="009306BA" w:rsidP="009306BA">
      <w:pPr>
        <w:autoSpaceDE w:val="0"/>
        <w:autoSpaceDN w:val="0"/>
        <w:adjustRightInd w:val="0"/>
        <w:spacing w:after="0" w:line="240" w:lineRule="auto"/>
        <w:jc w:val="both"/>
        <w:rPr>
          <w:sz w:val="24"/>
          <w:szCs w:val="24"/>
        </w:rPr>
      </w:pPr>
      <w:r w:rsidRPr="009306BA">
        <w:rPr>
          <w:sz w:val="24"/>
          <w:szCs w:val="24"/>
        </w:rPr>
        <w:t xml:space="preserve">Vladine institucije BD BiH pokrenule su inicijativu za izradu posebnog zakona </w:t>
      </w:r>
      <w:r w:rsidR="006B3E25">
        <w:rPr>
          <w:sz w:val="24"/>
          <w:szCs w:val="24"/>
        </w:rPr>
        <w:t>o zaštiti od nasilja u porodici</w:t>
      </w:r>
      <w:r w:rsidR="006B3E25">
        <w:rPr>
          <w:rStyle w:val="FootnoteReference"/>
          <w:sz w:val="24"/>
          <w:szCs w:val="24"/>
        </w:rPr>
        <w:footnoteReference w:id="8"/>
      </w:r>
      <w:r w:rsidRPr="009306BA">
        <w:rPr>
          <w:sz w:val="24"/>
          <w:szCs w:val="24"/>
        </w:rPr>
        <w:t>, kako bi osigurale sistemsko rješenje. Podaci koje su prikupile nevladine organizacije ukazuju na nepostojanje jedinstvenog pristupa prikupljanju podataka, kao i pružanju podrške i pomoći od strane institucija žen</w:t>
      </w:r>
      <w:r w:rsidR="006B3E25">
        <w:rPr>
          <w:sz w:val="24"/>
          <w:szCs w:val="24"/>
        </w:rPr>
        <w:t>ama koje su preživjele nasilje.</w:t>
      </w:r>
      <w:r w:rsidR="006B3E25">
        <w:rPr>
          <w:rStyle w:val="FootnoteReference"/>
          <w:sz w:val="24"/>
          <w:szCs w:val="24"/>
        </w:rPr>
        <w:footnoteReference w:id="9"/>
      </w:r>
    </w:p>
    <w:p w:rsidR="009306BA" w:rsidRDefault="009306BA" w:rsidP="009306BA">
      <w:pPr>
        <w:autoSpaceDE w:val="0"/>
        <w:autoSpaceDN w:val="0"/>
        <w:adjustRightInd w:val="0"/>
        <w:spacing w:after="0" w:line="240" w:lineRule="auto"/>
        <w:jc w:val="both"/>
        <w:rPr>
          <w:sz w:val="24"/>
          <w:szCs w:val="24"/>
        </w:rPr>
      </w:pPr>
      <w:r w:rsidRPr="009306BA">
        <w:rPr>
          <w:sz w:val="24"/>
          <w:szCs w:val="24"/>
        </w:rPr>
        <w:lastRenderedPageBreak/>
        <w:t>Analize koje provode nevladine organizacije ukazuju da BiH nema zakonom regulisanu obavezu informisanja žena koje su preživjele nasilje o dostupnim oblicima podrške i pomoći, niti su određene institucije sistema koje su dužne pružiti ove informacije. Podrška žrtvama seksualnog nasilja nije osigurana jer u BiH ne postoje krizni centri za žrtve silovanja ili drugih oblika seksualnog nasilja. Analize takođe ukazuju da krivično zakonodavstvo u BiH (države, entiteta, BD BiH) ne inkriminiše djela proganjanja, prinudnog braka i genitalnog sakaćenja žena, što je u suprotnosti s međunarodnim sta</w:t>
      </w:r>
      <w:r w:rsidR="006B3E25">
        <w:rPr>
          <w:sz w:val="24"/>
          <w:szCs w:val="24"/>
        </w:rPr>
        <w:t>ndardima i preuzetim obavezama.</w:t>
      </w:r>
      <w:r w:rsidR="006B3E25">
        <w:rPr>
          <w:rStyle w:val="FootnoteReference"/>
          <w:sz w:val="24"/>
          <w:szCs w:val="24"/>
        </w:rPr>
        <w:footnoteReference w:id="10"/>
      </w:r>
    </w:p>
    <w:p w:rsidR="007E5FD5" w:rsidRPr="009306BA" w:rsidRDefault="007E5FD5" w:rsidP="009306BA">
      <w:pPr>
        <w:autoSpaceDE w:val="0"/>
        <w:autoSpaceDN w:val="0"/>
        <w:adjustRightInd w:val="0"/>
        <w:spacing w:after="0" w:line="240" w:lineRule="auto"/>
        <w:jc w:val="both"/>
        <w:rPr>
          <w:sz w:val="24"/>
          <w:szCs w:val="24"/>
        </w:rPr>
      </w:pPr>
    </w:p>
    <w:p w:rsidR="009306BA" w:rsidRDefault="009306BA" w:rsidP="009306BA">
      <w:pPr>
        <w:autoSpaceDE w:val="0"/>
        <w:autoSpaceDN w:val="0"/>
        <w:adjustRightInd w:val="0"/>
        <w:spacing w:after="0" w:line="240" w:lineRule="auto"/>
        <w:jc w:val="both"/>
        <w:rPr>
          <w:sz w:val="24"/>
          <w:szCs w:val="24"/>
        </w:rPr>
      </w:pPr>
      <w:r w:rsidRPr="009306BA">
        <w:rPr>
          <w:sz w:val="24"/>
          <w:szCs w:val="24"/>
        </w:rPr>
        <w:t>Praksa rada pravosudnih institucija u BiH ukazuje na nedostatak pristupa zaštiti prava žena i djevojčica koje su preživjele nasilje, kao i neadekvatno kažnjavanje počinilaca nasilja. Lokalne nevladine organizacije koje prate krivične postupke u oblasti rodno zasnovanog nasilja</w:t>
      </w:r>
      <w:r w:rsidR="006B3E25">
        <w:rPr>
          <w:rStyle w:val="FootnoteReference"/>
          <w:sz w:val="24"/>
          <w:szCs w:val="24"/>
        </w:rPr>
        <w:footnoteReference w:id="11"/>
      </w:r>
      <w:r w:rsidRPr="009306BA">
        <w:rPr>
          <w:sz w:val="24"/>
          <w:szCs w:val="24"/>
        </w:rPr>
        <w:t xml:space="preserve"> izvještavaju da i pored toga što entitetski zakoni o zaštiti od nasilja u porodici propisuju obavezno hitno postupanje, postupci za krivična djela nasilja u porodici traju u prosjeku do 4 mjeseca, čime se ne osigurava zaštita od stalnog ponavljanja nasilja i ne otklanjaju dalje štetne posljedice po žene koje su preživjele nasilje. Zabrinjava to što  su uočeni slučajevi seksualnog nasilja prema ženama i djevojčicama u kojima je proteklo više godina od izvršenja djela do potvrđivanja optužnice, iako za odgađanje procesa nisu postojali objektivni razlozi jer je istraga provedena neposredno nakon izvršenja djela, uzete su izjave od optuženog i oštećene i prikupljen je niz materijalnih dokaza. Praćenjem su takođe uočeni slučajevi neopravdanog odlaganja ročišta više puta, čestih promjena tužilaca, sugerisanja maloljetnicama da svjedoče bez prisustva stručnih lica koja su zakonom obavezana da pruže pomoć pri svjedočenju, propuštanja tužilaca da krivično djelo nasilja u optužnici ocjeni u njegovom kvalifikovanom obliku za koji je predviđena strožija kazna, odsustva primjene zaštitnih i sigurnosnih</w:t>
      </w:r>
      <w:r w:rsidR="006B3E25">
        <w:rPr>
          <w:sz w:val="24"/>
          <w:szCs w:val="24"/>
        </w:rPr>
        <w:t xml:space="preserve"> mjera u svrhu zaštite oštećene</w:t>
      </w:r>
      <w:r w:rsidR="006B3E25">
        <w:rPr>
          <w:rStyle w:val="FootnoteReference"/>
          <w:sz w:val="24"/>
          <w:szCs w:val="24"/>
        </w:rPr>
        <w:footnoteReference w:id="12"/>
      </w:r>
      <w:r w:rsidRPr="009306BA">
        <w:rPr>
          <w:sz w:val="24"/>
          <w:szCs w:val="24"/>
        </w:rPr>
        <w:t xml:space="preserve">, odsustva pravne i psihološke podrške tokom svjedočenja za punoljetne žene koje su preživjele nasilje kao i, u pravilu, upućivanja oštećene da naknadu štete putem imovinsko pravnog zahtjeva ostvaruje u parničnom postupku. Formalno i šturo upoznavanje sa mogućnošću postavljanja imovinskopravnog zahtjeva za žene i djevojčice koje su pretrpjele nasilje ima za posljedicu nultu stopu </w:t>
      </w:r>
      <w:r w:rsidRPr="009306BA">
        <w:rPr>
          <w:sz w:val="24"/>
          <w:szCs w:val="24"/>
        </w:rPr>
        <w:lastRenderedPageBreak/>
        <w:t>postavljenih imovinskopravnih zahtjeva u krivičnom postupku.</w:t>
      </w:r>
      <w:r w:rsidR="006B3E25">
        <w:rPr>
          <w:rStyle w:val="FootnoteReference"/>
          <w:sz w:val="24"/>
          <w:szCs w:val="24"/>
        </w:rPr>
        <w:footnoteReference w:id="13"/>
      </w:r>
      <w:r w:rsidRPr="009306BA">
        <w:rPr>
          <w:sz w:val="24"/>
          <w:szCs w:val="24"/>
        </w:rPr>
        <w:t xml:space="preserve"> Neophodno je, bez suviše stručnih termina i na način prilagođen oštećenim, pružiti dodatna pojašnjenja o prirodi imovinskopravnog zahtjeva, prednosti raspravljanja o ovom zahtjevu u krivičnom postupku, kao i o naknadnoj mogućnosti p</w:t>
      </w:r>
      <w:r w:rsidR="007E5FD5">
        <w:rPr>
          <w:sz w:val="24"/>
          <w:szCs w:val="24"/>
        </w:rPr>
        <w:t>ostavljanja zahtjeva u parnici.</w:t>
      </w:r>
    </w:p>
    <w:p w:rsidR="007E5FD5" w:rsidRPr="009306BA" w:rsidRDefault="007E5FD5" w:rsidP="009306BA">
      <w:pPr>
        <w:autoSpaceDE w:val="0"/>
        <w:autoSpaceDN w:val="0"/>
        <w:adjustRightInd w:val="0"/>
        <w:spacing w:after="0" w:line="240" w:lineRule="auto"/>
        <w:jc w:val="both"/>
        <w:rPr>
          <w:sz w:val="24"/>
          <w:szCs w:val="24"/>
        </w:rPr>
      </w:pPr>
    </w:p>
    <w:p w:rsidR="009306BA" w:rsidRDefault="009306BA" w:rsidP="009306BA">
      <w:pPr>
        <w:autoSpaceDE w:val="0"/>
        <w:autoSpaceDN w:val="0"/>
        <w:adjustRightInd w:val="0"/>
        <w:spacing w:after="0" w:line="240" w:lineRule="auto"/>
        <w:jc w:val="both"/>
        <w:rPr>
          <w:sz w:val="24"/>
          <w:szCs w:val="24"/>
        </w:rPr>
      </w:pPr>
      <w:r w:rsidRPr="009306BA">
        <w:rPr>
          <w:sz w:val="24"/>
          <w:szCs w:val="24"/>
        </w:rPr>
        <w:t>Kaznena politika u oblasti rodno zasnovanog nasilja u BiH i dalje je izuzetno blaga, iako su zakonom predviđene kazne za ova djela nedavno pooštrene.</w:t>
      </w:r>
      <w:r w:rsidR="006B3E25">
        <w:rPr>
          <w:rStyle w:val="FootnoteReference"/>
          <w:sz w:val="24"/>
          <w:szCs w:val="24"/>
        </w:rPr>
        <w:footnoteReference w:id="14"/>
      </w:r>
      <w:r w:rsidRPr="009306BA">
        <w:rPr>
          <w:sz w:val="24"/>
          <w:szCs w:val="24"/>
        </w:rPr>
        <w:t xml:space="preserve"> Sudovi počiniocima rodno zasnovanog nasilja, naročito nasilja u porodici, u pravilu izriču uslovne osude i novčane kazne, a izuzetno kazne zatvora u kraćem trajanju, čak i u slučajevima kad se radi o višestrukim povratnicima u vršenju istog djela. Uznemirava učestala praksa da sudije cijene porodičnost i obavezu staranja i izdržavanja maloljetne djece kao olakšavajuće okolnosti kod krivičnih djela nasilja u porodici, iako je djelo učinjeno protiv članova porodice, što ukazuje na nedostatak senzibilisanosti sudija i posmatranje nasilja nad ženama kao nasi</w:t>
      </w:r>
      <w:r w:rsidR="007E5FD5">
        <w:rPr>
          <w:sz w:val="24"/>
          <w:szCs w:val="24"/>
        </w:rPr>
        <w:t xml:space="preserve">lja manje društvene opasnosti. </w:t>
      </w:r>
    </w:p>
    <w:p w:rsidR="007E5FD5" w:rsidRPr="009306BA" w:rsidRDefault="007E5FD5" w:rsidP="009306BA">
      <w:pPr>
        <w:autoSpaceDE w:val="0"/>
        <w:autoSpaceDN w:val="0"/>
        <w:adjustRightInd w:val="0"/>
        <w:spacing w:after="0" w:line="240" w:lineRule="auto"/>
        <w:jc w:val="both"/>
        <w:rPr>
          <w:sz w:val="24"/>
          <w:szCs w:val="24"/>
        </w:rPr>
      </w:pPr>
    </w:p>
    <w:p w:rsidR="009306BA" w:rsidRDefault="009306BA" w:rsidP="009306BA">
      <w:pPr>
        <w:autoSpaceDE w:val="0"/>
        <w:autoSpaceDN w:val="0"/>
        <w:adjustRightInd w:val="0"/>
        <w:spacing w:after="0" w:line="240" w:lineRule="auto"/>
        <w:jc w:val="both"/>
        <w:rPr>
          <w:sz w:val="24"/>
          <w:szCs w:val="24"/>
        </w:rPr>
      </w:pPr>
      <w:r w:rsidRPr="009306BA">
        <w:rPr>
          <w:sz w:val="24"/>
          <w:szCs w:val="24"/>
        </w:rPr>
        <w:t>Žene žrtve nasilja ne uživaju jednak pristup besplatnoj pravnoj pomoći s obzirom da još uvijek nije usvojen zakon na državnom nivou koji bi uskladio kriterije za uživanje prava na pravnu pomoć i pristup pravima, odnosno imajući u vidu trenutnu neusklađenost postojećih propisa koji regulišu ovu oblast</w:t>
      </w:r>
      <w:r w:rsidR="006B3E25">
        <w:rPr>
          <w:rStyle w:val="FootnoteReference"/>
          <w:sz w:val="24"/>
          <w:szCs w:val="24"/>
        </w:rPr>
        <w:footnoteReference w:id="15"/>
      </w:r>
      <w:r w:rsidRPr="009306BA">
        <w:rPr>
          <w:sz w:val="24"/>
          <w:szCs w:val="24"/>
        </w:rPr>
        <w:t xml:space="preserve"> te da postoji postoji neujednačenost u standardizaciji usluga, posebno</w:t>
      </w:r>
      <w:r w:rsidR="006B3E25">
        <w:rPr>
          <w:sz w:val="24"/>
          <w:szCs w:val="24"/>
        </w:rPr>
        <w:t xml:space="preserve"> u pogledu obima usluga.</w:t>
      </w:r>
      <w:r w:rsidR="006B3E25">
        <w:rPr>
          <w:rStyle w:val="FootnoteReference"/>
          <w:sz w:val="24"/>
          <w:szCs w:val="24"/>
        </w:rPr>
        <w:footnoteReference w:id="16"/>
      </w:r>
      <w:r w:rsidRPr="009306BA">
        <w:rPr>
          <w:sz w:val="24"/>
          <w:szCs w:val="24"/>
        </w:rPr>
        <w:t xml:space="preserve"> Veliki problem predstavlja i činjenica da ni svi važeći zakoni ne prepoznaju žene žrtve nasilja u porodici kao korisnice besplatne pravne pomoći. Ženama žrtvama nasilja u porodici besplatna se pravna pomoć pruža i u okviru aktivnosti nevladinih organizacija, uz rodno senzibilisan pristup i u zavisnosti od stvarnih potreba žena, u pravilu uz podršku međunarodnih donatora i bez podrške ov</w:t>
      </w:r>
      <w:r w:rsidR="007E5FD5">
        <w:rPr>
          <w:sz w:val="24"/>
          <w:szCs w:val="24"/>
        </w:rPr>
        <w:t>im uslugama kroz javne budžete.</w:t>
      </w:r>
    </w:p>
    <w:p w:rsidR="007E5FD5" w:rsidRPr="009306BA" w:rsidRDefault="007E5FD5" w:rsidP="009306BA">
      <w:pPr>
        <w:autoSpaceDE w:val="0"/>
        <w:autoSpaceDN w:val="0"/>
        <w:adjustRightInd w:val="0"/>
        <w:spacing w:after="0" w:line="240" w:lineRule="auto"/>
        <w:jc w:val="both"/>
        <w:rPr>
          <w:sz w:val="24"/>
          <w:szCs w:val="24"/>
        </w:rPr>
      </w:pPr>
    </w:p>
    <w:p w:rsidR="009306BA" w:rsidRPr="009306BA" w:rsidRDefault="009306BA" w:rsidP="009306BA">
      <w:pPr>
        <w:autoSpaceDE w:val="0"/>
        <w:autoSpaceDN w:val="0"/>
        <w:adjustRightInd w:val="0"/>
        <w:spacing w:after="0" w:line="240" w:lineRule="auto"/>
        <w:jc w:val="both"/>
        <w:rPr>
          <w:sz w:val="24"/>
          <w:szCs w:val="24"/>
        </w:rPr>
      </w:pPr>
      <w:r w:rsidRPr="009306BA">
        <w:rPr>
          <w:sz w:val="24"/>
          <w:szCs w:val="24"/>
        </w:rPr>
        <w:t>Povodom krivičnih djela nasilja u porodici primjetno je manje formalno poštivanje Zakona o krivičnom postupku, često na neprikladan način, bez persiranja između suda i stranaka, bez međusobnog slušanja, čime se stiče dojam konfuzije i prijeti opasnost od neevidentiranja važnih podataka.</w:t>
      </w:r>
      <w:r w:rsidR="00AE61B4">
        <w:rPr>
          <w:rStyle w:val="FootnoteReference"/>
          <w:sz w:val="24"/>
          <w:szCs w:val="24"/>
        </w:rPr>
        <w:footnoteReference w:id="17"/>
      </w:r>
      <w:r w:rsidRPr="009306BA">
        <w:rPr>
          <w:sz w:val="24"/>
          <w:szCs w:val="24"/>
        </w:rPr>
        <w:t xml:space="preserve"> Na pojedinim sudovima u FBiH evidentan je zastoj u vođenju krivičnih </w:t>
      </w:r>
      <w:r w:rsidRPr="009306BA">
        <w:rPr>
          <w:sz w:val="24"/>
          <w:szCs w:val="24"/>
        </w:rPr>
        <w:lastRenderedPageBreak/>
        <w:t>postupaka zbog bolovanja sudija/tkinja, što ukazuje na ozbiljan prob</w:t>
      </w:r>
      <w:r w:rsidR="00AE61B4">
        <w:rPr>
          <w:sz w:val="24"/>
          <w:szCs w:val="24"/>
        </w:rPr>
        <w:t>lem nedovoljnog sudačkog kadra.</w:t>
      </w:r>
      <w:r w:rsidR="00AE61B4">
        <w:rPr>
          <w:rStyle w:val="FootnoteReference"/>
          <w:sz w:val="24"/>
          <w:szCs w:val="24"/>
        </w:rPr>
        <w:footnoteReference w:id="18"/>
      </w:r>
    </w:p>
    <w:p w:rsidR="009306BA" w:rsidRPr="009306BA" w:rsidRDefault="009306BA" w:rsidP="009306BA">
      <w:pPr>
        <w:autoSpaceDE w:val="0"/>
        <w:autoSpaceDN w:val="0"/>
        <w:adjustRightInd w:val="0"/>
        <w:spacing w:after="0" w:line="240" w:lineRule="auto"/>
        <w:jc w:val="both"/>
        <w:rPr>
          <w:sz w:val="24"/>
          <w:szCs w:val="24"/>
        </w:rPr>
      </w:pPr>
    </w:p>
    <w:p w:rsidR="009306BA" w:rsidRPr="009306BA" w:rsidRDefault="009306BA" w:rsidP="009306BA">
      <w:pPr>
        <w:autoSpaceDE w:val="0"/>
        <w:autoSpaceDN w:val="0"/>
        <w:adjustRightInd w:val="0"/>
        <w:spacing w:after="0" w:line="240" w:lineRule="auto"/>
        <w:jc w:val="both"/>
        <w:rPr>
          <w:b/>
          <w:sz w:val="24"/>
          <w:szCs w:val="24"/>
        </w:rPr>
      </w:pPr>
      <w:r w:rsidRPr="009306BA">
        <w:rPr>
          <w:b/>
          <w:sz w:val="24"/>
          <w:szCs w:val="24"/>
        </w:rPr>
        <w:t>SIGURNE KUĆE U BIH BEZ KONTINUIRANE SISTEMSKE PODRŠKE</w:t>
      </w:r>
    </w:p>
    <w:p w:rsidR="009306BA" w:rsidRPr="009306BA" w:rsidRDefault="009306BA" w:rsidP="009306BA">
      <w:pPr>
        <w:autoSpaceDE w:val="0"/>
        <w:autoSpaceDN w:val="0"/>
        <w:adjustRightInd w:val="0"/>
        <w:spacing w:after="0" w:line="240" w:lineRule="auto"/>
        <w:jc w:val="both"/>
        <w:rPr>
          <w:sz w:val="24"/>
          <w:szCs w:val="24"/>
        </w:rPr>
      </w:pPr>
    </w:p>
    <w:p w:rsidR="009306BA" w:rsidRPr="009306BA" w:rsidRDefault="009306BA" w:rsidP="009306BA">
      <w:pPr>
        <w:autoSpaceDE w:val="0"/>
        <w:autoSpaceDN w:val="0"/>
        <w:adjustRightInd w:val="0"/>
        <w:spacing w:after="0" w:line="240" w:lineRule="auto"/>
        <w:jc w:val="both"/>
        <w:rPr>
          <w:sz w:val="24"/>
          <w:szCs w:val="24"/>
        </w:rPr>
      </w:pPr>
      <w:r w:rsidRPr="009306BA">
        <w:rPr>
          <w:sz w:val="24"/>
          <w:szCs w:val="24"/>
        </w:rPr>
        <w:t>Sigurne kuće predstavljaju važan segment podrške kroz osiguravanje besplatne i senzibilisane psihološke, pravne, medicinske pomoći ženama i djeci koji su preživjeli nasilje. U BiH ne postoji usklađen sistemski pristup u osiguravanju podrške i pomoći ženama i djevojčicama koje su preživjele nasilje, kroz provođenje zaštitne mjere zbrinjavanja i smještaja  sigurnu kuću i podrške procesu oporavka i pronalaska izlazne strategije. Osnivanje i funkcionisanje sigurnih kuća uređeno je entitetskim zakonima o zaštiti od nasilja u porodici koji različito tretiraju ovu oblast u pogledu osnivanja, načina zbrinjavanja žena i djece koji su preživjeli nasilje i načina f</w:t>
      </w:r>
      <w:r w:rsidR="00AE61B4">
        <w:rPr>
          <w:sz w:val="24"/>
          <w:szCs w:val="24"/>
        </w:rPr>
        <w:t>inansiranja rada sigurnih kuća.</w:t>
      </w:r>
      <w:r w:rsidR="00AE61B4">
        <w:rPr>
          <w:rStyle w:val="FootnoteReference"/>
          <w:sz w:val="24"/>
          <w:szCs w:val="24"/>
        </w:rPr>
        <w:footnoteReference w:id="19"/>
      </w:r>
      <w:r w:rsidRPr="009306BA">
        <w:rPr>
          <w:sz w:val="24"/>
          <w:szCs w:val="24"/>
        </w:rPr>
        <w:t xml:space="preserve"> Trenutno u BiH aktivno radi sedam sigurnih kuća – četiri u FBiH i tri u RS,</w:t>
      </w:r>
      <w:r w:rsidR="00AE61B4">
        <w:rPr>
          <w:rStyle w:val="FootnoteReference"/>
          <w:sz w:val="24"/>
          <w:szCs w:val="24"/>
        </w:rPr>
        <w:footnoteReference w:id="20"/>
      </w:r>
      <w:r w:rsidRPr="009306BA">
        <w:rPr>
          <w:sz w:val="24"/>
          <w:szCs w:val="24"/>
        </w:rPr>
        <w:t xml:space="preserve"> a početkom 2016. godine, zbog odsustva finansijske podrške vladinih institucija ovom obliku specijalizovane podrške ženama i djeci žrtvama nasilja zatvorena je Sigurna kuća za žene žrtve nasilja u Mostaru, koju je dugi niz godina vodila NVO Žena BiH iz Mostara. </w:t>
      </w:r>
    </w:p>
    <w:p w:rsidR="009306BA" w:rsidRPr="009306BA" w:rsidRDefault="009306BA" w:rsidP="009306BA">
      <w:pPr>
        <w:autoSpaceDE w:val="0"/>
        <w:autoSpaceDN w:val="0"/>
        <w:adjustRightInd w:val="0"/>
        <w:spacing w:after="0" w:line="240" w:lineRule="auto"/>
        <w:jc w:val="both"/>
        <w:rPr>
          <w:sz w:val="24"/>
          <w:szCs w:val="24"/>
        </w:rPr>
      </w:pPr>
    </w:p>
    <w:p w:rsidR="009306BA" w:rsidRPr="009306BA" w:rsidRDefault="009306BA" w:rsidP="009306BA">
      <w:pPr>
        <w:autoSpaceDE w:val="0"/>
        <w:autoSpaceDN w:val="0"/>
        <w:adjustRightInd w:val="0"/>
        <w:spacing w:after="0" w:line="240" w:lineRule="auto"/>
        <w:jc w:val="both"/>
        <w:rPr>
          <w:sz w:val="24"/>
          <w:szCs w:val="24"/>
        </w:rPr>
      </w:pPr>
      <w:r w:rsidRPr="009306BA">
        <w:rPr>
          <w:sz w:val="24"/>
          <w:szCs w:val="24"/>
        </w:rPr>
        <w:t>U RS je zakonom i pratećim pravilnicima sistemski uređen rad sigurnih kuća i osiguran nadzor nad radom kroz Ministarstvo porodice, omladine i sporta, dok u FBiH od septembra  2015. godine postoji prednacrt Zakona o izmjenama i dopunama Zakona o zaš</w:t>
      </w:r>
      <w:r w:rsidR="00AE61B4">
        <w:rPr>
          <w:sz w:val="24"/>
          <w:szCs w:val="24"/>
        </w:rPr>
        <w:t>titi od nasilja u porodici FBiH</w:t>
      </w:r>
      <w:r w:rsidR="00AE61B4">
        <w:rPr>
          <w:rStyle w:val="FootnoteReference"/>
          <w:sz w:val="24"/>
          <w:szCs w:val="24"/>
        </w:rPr>
        <w:footnoteReference w:id="21"/>
      </w:r>
      <w:r w:rsidRPr="009306BA">
        <w:rPr>
          <w:sz w:val="24"/>
          <w:szCs w:val="24"/>
        </w:rPr>
        <w:t xml:space="preserve"> koji predviđa izmjene u načinu osnivanja i statusa, standarda rada, finansiranja i nadzora nad radom sigurnih kuća u FBiH. Predložene izmjene idu u pravcu njihovog osnivanja prema Zakonu o ustanovama FBiH, upravljanja, rada, zatvaranja i nadzora rada prema standardima koja će pravilnicima propisati Federalno ministarstvo rada i socijalne politike, te finansiranja prema odluci o visini cijene koju određuje federalni ministar rada i socijalne politike za svaku kalendarsku godinu, a na osnovu planiranih sredstava i u  skladu sa Zakonom o budžetu FBiH. Ukoliko izmjene stupe na snagu, postojeće sigurne kuće koje su osnovane kao fondacije ili udruženja morat će promijeniti svoj pravni status u status ustanove, ili u protivnom neće imati podršku FBiH. Ovakvim postupanjem zanemaruje se i ne prepoznaje dvadesetogodišnji rad nevladinih organizacija u uspostavljanju servisa podrške žrtvama nasilja u porodici, koje se na ovaj način u potpunosti isključuju iz sistema zaštite od nasilja.</w:t>
      </w:r>
    </w:p>
    <w:p w:rsidR="009306BA" w:rsidRDefault="009306BA" w:rsidP="009306BA">
      <w:pPr>
        <w:autoSpaceDE w:val="0"/>
        <w:autoSpaceDN w:val="0"/>
        <w:adjustRightInd w:val="0"/>
        <w:spacing w:after="0" w:line="240" w:lineRule="auto"/>
        <w:jc w:val="both"/>
        <w:rPr>
          <w:sz w:val="24"/>
          <w:szCs w:val="24"/>
        </w:rPr>
      </w:pPr>
      <w:r w:rsidRPr="009306BA">
        <w:rPr>
          <w:sz w:val="24"/>
          <w:szCs w:val="24"/>
        </w:rPr>
        <w:lastRenderedPageBreak/>
        <w:t>Nevladine organizacije koje vode sigurne kuće se, na osnovu svog dugogodišnjeg rada, testiranih i dokazanih modela finansiranja, i vodeći se potrebom da žene koje su preživjele nasilje imaju brz i efikasan pristup sigurnom smještaju, podršci i zaštiti,  zalažu za rješenje po kojem bi se sigurne kuće osnivale i funkcionisale po Zakonu o ustanovama, ali i Zakonu o udruženjima i fondacijama BiH i FBiH, te da  bi bili usklađeni sa odredbama Konvencije Vijeća Evrope o sprečavanju i borbi protiv nasilja nad ženama i nasilja u porodici, koja prepoznaje značaj ženskih NVO-a, čime bi se omogućio nesmetan nastavak rada postojećih sigurnih kuća i osnivanj</w:t>
      </w:r>
      <w:r w:rsidR="00AE61B4">
        <w:rPr>
          <w:sz w:val="24"/>
          <w:szCs w:val="24"/>
        </w:rPr>
        <w:t>e novih, u skladu sa potrebama.</w:t>
      </w:r>
      <w:r w:rsidR="00AE61B4">
        <w:rPr>
          <w:rStyle w:val="FootnoteReference"/>
          <w:sz w:val="24"/>
          <w:szCs w:val="24"/>
        </w:rPr>
        <w:footnoteReference w:id="22"/>
      </w:r>
    </w:p>
    <w:p w:rsidR="007E5FD5" w:rsidRPr="009306BA" w:rsidRDefault="007E5FD5" w:rsidP="009306BA">
      <w:pPr>
        <w:autoSpaceDE w:val="0"/>
        <w:autoSpaceDN w:val="0"/>
        <w:adjustRightInd w:val="0"/>
        <w:spacing w:after="0" w:line="240" w:lineRule="auto"/>
        <w:jc w:val="both"/>
        <w:rPr>
          <w:sz w:val="24"/>
          <w:szCs w:val="24"/>
        </w:rPr>
      </w:pPr>
    </w:p>
    <w:p w:rsidR="009306BA" w:rsidRDefault="009306BA" w:rsidP="009306BA">
      <w:pPr>
        <w:autoSpaceDE w:val="0"/>
        <w:autoSpaceDN w:val="0"/>
        <w:adjustRightInd w:val="0"/>
        <w:spacing w:after="0" w:line="240" w:lineRule="auto"/>
        <w:jc w:val="both"/>
        <w:rPr>
          <w:sz w:val="24"/>
          <w:szCs w:val="24"/>
        </w:rPr>
      </w:pPr>
      <w:r w:rsidRPr="009306BA">
        <w:rPr>
          <w:sz w:val="24"/>
          <w:szCs w:val="24"/>
        </w:rPr>
        <w:t>Praksa rada sigurnih kuća u BiH ukazuje na otežan pristup ovoj vrsti zaštite za žene koje su preživjele nasilje, i pored postojanja zakonske mogućnosti u RS da traže zbrinjavanje u sigurnu kuću. Nadležni centar za socijalni rad donosi odluku o smještaju preživjele u sigurnu kuću nakon što žrtva nema niti jednog člana porodice ili prijatelja kod kojeg bi se mogla stambeno zbrinuti ili ukoliko postoji opasnost da bi u slučaju odlaska na ta mjesta mogla ponovo preživjeti nasilje. Žene koje se javljaju na SOS telefon se upućuju zbog zakonske procedure u centre za socijalni rad, koji zbog izbjegavanja plaćanja troškova smještaja odbijaju izdati rješenje. Praksa je takođe da centri unaprijed planiraju broj preživjelih koji će boraviti u sigurnoj kući u toku godine i ne žele ga povećati.</w:t>
      </w:r>
      <w:r w:rsidR="00AE61B4">
        <w:rPr>
          <w:rStyle w:val="FootnoteReference"/>
          <w:sz w:val="24"/>
          <w:szCs w:val="24"/>
        </w:rPr>
        <w:footnoteReference w:id="23"/>
      </w:r>
    </w:p>
    <w:p w:rsidR="00AE61B4" w:rsidRDefault="00AE61B4" w:rsidP="009306BA">
      <w:pPr>
        <w:autoSpaceDE w:val="0"/>
        <w:autoSpaceDN w:val="0"/>
        <w:adjustRightInd w:val="0"/>
        <w:spacing w:after="0" w:line="240" w:lineRule="auto"/>
        <w:jc w:val="both"/>
        <w:rPr>
          <w:sz w:val="24"/>
          <w:szCs w:val="24"/>
        </w:rPr>
      </w:pPr>
    </w:p>
    <w:p w:rsidR="004C00D0" w:rsidRPr="008854CD" w:rsidRDefault="00AD7BF9" w:rsidP="004C00D0">
      <w:pPr>
        <w:spacing w:after="0" w:line="240" w:lineRule="auto"/>
        <w:jc w:val="both"/>
        <w:rPr>
          <w:b/>
          <w:color w:val="212121"/>
          <w:sz w:val="24"/>
          <w:szCs w:val="24"/>
        </w:rPr>
      </w:pPr>
      <w:r w:rsidRPr="00E411F1">
        <w:rPr>
          <w:b/>
          <w:color w:val="212121"/>
          <w:sz w:val="24"/>
          <w:szCs w:val="24"/>
        </w:rPr>
        <w:t>PREPORUKE</w:t>
      </w:r>
      <w:r w:rsidRPr="008854CD">
        <w:rPr>
          <w:b/>
          <w:color w:val="212121"/>
          <w:sz w:val="24"/>
          <w:szCs w:val="24"/>
        </w:rPr>
        <w:t xml:space="preserve"> </w:t>
      </w:r>
    </w:p>
    <w:p w:rsidR="004C00D0" w:rsidRPr="008854CD" w:rsidRDefault="004C00D0" w:rsidP="004C00D0">
      <w:pPr>
        <w:spacing w:after="0" w:line="240" w:lineRule="auto"/>
        <w:jc w:val="both"/>
        <w:rPr>
          <w:b/>
          <w:color w:val="212121"/>
          <w:sz w:val="24"/>
          <w:szCs w:val="24"/>
        </w:rPr>
      </w:pPr>
    </w:p>
    <w:p w:rsidR="009306BA" w:rsidRPr="009306BA" w:rsidRDefault="009306BA" w:rsidP="009306BA">
      <w:pPr>
        <w:pStyle w:val="HTMLPreformatted"/>
        <w:numPr>
          <w:ilvl w:val="0"/>
          <w:numId w:val="7"/>
        </w:numPr>
        <w:shd w:val="clear" w:color="auto" w:fill="FFFFFF"/>
        <w:tabs>
          <w:tab w:val="left" w:pos="567"/>
        </w:tabs>
        <w:spacing w:after="120"/>
        <w:jc w:val="both"/>
        <w:rPr>
          <w:rFonts w:ascii="Calibri" w:hAnsi="Calibri"/>
          <w:sz w:val="24"/>
          <w:szCs w:val="24"/>
          <w:lang w:val="hr-BA"/>
        </w:rPr>
      </w:pPr>
      <w:r w:rsidRPr="009306BA">
        <w:rPr>
          <w:rFonts w:ascii="Calibri" w:hAnsi="Calibri"/>
          <w:sz w:val="24"/>
          <w:szCs w:val="24"/>
          <w:lang w:val="hr-BA"/>
        </w:rPr>
        <w:t xml:space="preserve">BiH mora osigurati da se zakonima i pratećim propisima na entitetskim nivoima i nivou BD BiH reguliše obaveze i način vođenja podataka o različitim oblicima rodno zasnovanog nasilja prema ženama, definišu institucije koje su obavezne prikupljati i obrađivati podatke, kao  i institucije koje će sistematizirati i analizirati podatke. Ovi podaci moraju biti javno predstavljeni i dostupni, uz zaštitu povjerljivosti ličnih podataka o žrtvama/preživjelima i počiniocima nasilja; </w:t>
      </w:r>
    </w:p>
    <w:p w:rsidR="009306BA" w:rsidRPr="009306BA" w:rsidRDefault="009306BA" w:rsidP="009306BA">
      <w:pPr>
        <w:pStyle w:val="HTMLPreformatted"/>
        <w:numPr>
          <w:ilvl w:val="0"/>
          <w:numId w:val="7"/>
        </w:numPr>
        <w:shd w:val="clear" w:color="auto" w:fill="FFFFFF"/>
        <w:tabs>
          <w:tab w:val="left" w:pos="567"/>
        </w:tabs>
        <w:spacing w:after="120"/>
        <w:jc w:val="both"/>
        <w:rPr>
          <w:rFonts w:ascii="Calibri" w:hAnsi="Calibri"/>
          <w:sz w:val="24"/>
          <w:szCs w:val="24"/>
          <w:lang w:val="hr-BA"/>
        </w:rPr>
      </w:pPr>
      <w:r w:rsidRPr="009306BA">
        <w:rPr>
          <w:rFonts w:ascii="Calibri" w:hAnsi="Calibri"/>
          <w:sz w:val="24"/>
          <w:szCs w:val="24"/>
          <w:lang w:val="hr-BA"/>
        </w:rPr>
        <w:t>U vezi sa omogućavanjem pristupa pravdi i zaštiti za žene koje su preživjele nasilje, BiH mora osigurati hitnost postupanja svih institucija subjekata zaštite žena od nasilja te zakonske mogućnosti za prepoznavanje statusa svjedoka pod prijetnjom i ugroženih svjedoka za žene koje su preživjele rodno zasnovano nasilje, njihov pristup naknadi štete u krivičnom postupku, te pristup mjerama zaštite i besplatnoj pravnoj i psihološkoj pomoći i informacijama, kroz zakonsko definisanje institucija koje su dužne pružiti pomoć i informacije, te jasno definisanje njihovih obaveza i ovlaštenja;</w:t>
      </w:r>
    </w:p>
    <w:p w:rsidR="009306BA" w:rsidRPr="009306BA" w:rsidRDefault="009306BA" w:rsidP="009306BA">
      <w:pPr>
        <w:pStyle w:val="HTMLPreformatted"/>
        <w:numPr>
          <w:ilvl w:val="0"/>
          <w:numId w:val="7"/>
        </w:numPr>
        <w:shd w:val="clear" w:color="auto" w:fill="FFFFFF"/>
        <w:tabs>
          <w:tab w:val="left" w:pos="567"/>
        </w:tabs>
        <w:spacing w:after="120"/>
        <w:jc w:val="both"/>
        <w:rPr>
          <w:rFonts w:ascii="Calibri" w:hAnsi="Calibri"/>
          <w:sz w:val="24"/>
          <w:szCs w:val="24"/>
          <w:lang w:val="hr-BA"/>
        </w:rPr>
      </w:pPr>
      <w:r w:rsidRPr="009306BA">
        <w:rPr>
          <w:rFonts w:ascii="Calibri" w:hAnsi="Calibri"/>
          <w:sz w:val="24"/>
          <w:szCs w:val="24"/>
          <w:lang w:val="hr-BA"/>
        </w:rPr>
        <w:lastRenderedPageBreak/>
        <w:t>U vezi sa kaznenom politikom usmjerenom na sprečavanje i suzbijanje nasilja u porodici, BiH mora osigurati da sudovi prepoznaju da se okolnosti porodičnosti i brige za djecu ne mogu posmatrati niti uzimati u obzir kao olakšavajuće okolnosti i razlozi za ublažavanje sankcije prema počiniocima nasilja;</w:t>
      </w:r>
    </w:p>
    <w:p w:rsidR="009306BA" w:rsidRDefault="009306BA" w:rsidP="009306BA">
      <w:pPr>
        <w:pStyle w:val="HTMLPreformatted"/>
        <w:numPr>
          <w:ilvl w:val="0"/>
          <w:numId w:val="7"/>
        </w:numPr>
        <w:shd w:val="clear" w:color="auto" w:fill="FFFFFF"/>
        <w:tabs>
          <w:tab w:val="left" w:pos="567"/>
        </w:tabs>
        <w:spacing w:after="120"/>
        <w:jc w:val="both"/>
        <w:rPr>
          <w:rFonts w:ascii="Calibri" w:hAnsi="Calibri"/>
          <w:sz w:val="24"/>
          <w:szCs w:val="24"/>
          <w:lang w:val="hr-BA"/>
        </w:rPr>
      </w:pPr>
      <w:r w:rsidRPr="009306BA">
        <w:rPr>
          <w:rFonts w:ascii="Calibri" w:hAnsi="Calibri"/>
          <w:sz w:val="24"/>
          <w:szCs w:val="24"/>
          <w:lang w:val="hr-BA"/>
        </w:rPr>
        <w:t>U vezi sa usklađivanjem standarda osnivanja i rada sigurnih kuća u BiH, BiH mora osigurati usvajanje zakonskih i pratećih propisa koji će slijediti dobre prakse i iskustva nevladinih organizacija, prepoznajući modele finansiranja koji će uključivati fiksne i varijabilne troškove, zasnovane na stvarnim potrebama, te kontinuirano planiranje i izdvajanje finansijskih sredstava iz entitetskih/kantonalnih/lokalnih javnih budžeta;</w:t>
      </w:r>
    </w:p>
    <w:p w:rsidR="008A4D29" w:rsidRPr="008C36DB" w:rsidRDefault="009306BA" w:rsidP="009306BA">
      <w:pPr>
        <w:pStyle w:val="HTMLPreformatted"/>
        <w:numPr>
          <w:ilvl w:val="0"/>
          <w:numId w:val="7"/>
        </w:numPr>
        <w:shd w:val="clear" w:color="auto" w:fill="FFFFFF"/>
        <w:tabs>
          <w:tab w:val="left" w:pos="567"/>
        </w:tabs>
        <w:spacing w:after="120"/>
        <w:jc w:val="both"/>
        <w:rPr>
          <w:rFonts w:ascii="Calibri" w:hAnsi="Calibri"/>
          <w:sz w:val="24"/>
          <w:szCs w:val="24"/>
          <w:lang w:val="hr-BA"/>
        </w:rPr>
      </w:pPr>
      <w:r w:rsidRPr="009306BA">
        <w:rPr>
          <w:rFonts w:ascii="Calibri" w:hAnsi="Calibri"/>
          <w:sz w:val="24"/>
          <w:szCs w:val="24"/>
          <w:lang w:val="hr-BA"/>
        </w:rPr>
        <w:t xml:space="preserve">U vezi sa omogućavanjem stvarnog i efikasnog pristupa zaštiti i pomoći u sigurnim kućama za žene i djecu koji su preživjeli nasilje, BiH mora zakonski i u praksi omogućiti da žene koje su preživjele nasilje u porodici mogu zahtijevati zbrinjavanje u sigurnu kuću te da se ono provodi konzistentno i po hitnoj proceduri, vodeći se primarno zaštitom sigurnosti žena i djece koji su preživjeli nasilje od ponavljanja nasilja i omogućavanjem njihovog oporavka i nastavka života bez nasilja;  </w:t>
      </w:r>
    </w:p>
    <w:sectPr w:rsidR="008A4D29" w:rsidRPr="008C36DB">
      <w:footnotePr>
        <w:numStart w:val="62"/>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F1" w:rsidRDefault="00DA09F1" w:rsidP="004C00D0">
      <w:pPr>
        <w:spacing w:after="0" w:line="240" w:lineRule="auto"/>
      </w:pPr>
      <w:r>
        <w:separator/>
      </w:r>
    </w:p>
  </w:endnote>
  <w:endnote w:type="continuationSeparator" w:id="0">
    <w:p w:rsidR="00DA09F1" w:rsidRDefault="00DA09F1" w:rsidP="004C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aleway">
    <w:altName w:val="Times New Roman"/>
    <w:panose1 w:val="00000000000000000000"/>
    <w:charset w:val="EE"/>
    <w:family w:val="auto"/>
    <w:notTrueType/>
    <w:pitch w:val="default"/>
    <w:sig w:usb0="00000001" w:usb1="00000000" w:usb2="00000000" w:usb3="00000000" w:csb0="00000003" w:csb1="00000000"/>
  </w:font>
  <w:font w:name="Georgia-Bold">
    <w:panose1 w:val="00000000000000000000"/>
    <w:charset w:val="EE"/>
    <w:family w:val="auto"/>
    <w:notTrueType/>
    <w:pitch w:val="default"/>
    <w:sig w:usb0="00000005" w:usb1="00000000" w:usb2="00000000" w:usb3="00000000" w:csb0="00000002" w:csb1="00000000"/>
  </w:font>
  <w:font w:name="Georgia-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F1" w:rsidRDefault="00DA09F1" w:rsidP="004C00D0">
      <w:pPr>
        <w:spacing w:after="0" w:line="240" w:lineRule="auto"/>
      </w:pPr>
      <w:r>
        <w:separator/>
      </w:r>
    </w:p>
  </w:footnote>
  <w:footnote w:type="continuationSeparator" w:id="0">
    <w:p w:rsidR="00DA09F1" w:rsidRDefault="00DA09F1" w:rsidP="004C00D0">
      <w:pPr>
        <w:spacing w:after="0" w:line="240" w:lineRule="auto"/>
      </w:pPr>
      <w:r>
        <w:continuationSeparator/>
      </w:r>
    </w:p>
  </w:footnote>
  <w:footnote w:id="1">
    <w:p w:rsidR="006B3E25" w:rsidRPr="00AE61B4" w:rsidRDefault="006B3E25">
      <w:pPr>
        <w:pStyle w:val="FootnoteText"/>
        <w:rPr>
          <w:sz w:val="18"/>
          <w:szCs w:val="18"/>
        </w:rPr>
      </w:pPr>
      <w:r w:rsidRPr="00AE61B4">
        <w:rPr>
          <w:rStyle w:val="FootnoteReference"/>
          <w:sz w:val="18"/>
          <w:szCs w:val="18"/>
        </w:rPr>
        <w:footnoteRef/>
      </w:r>
      <w:r w:rsidRPr="00AE61B4">
        <w:rPr>
          <w:sz w:val="18"/>
          <w:szCs w:val="18"/>
        </w:rPr>
        <w:t xml:space="preserve"> Bosna i Hercegovina je 7. novembra 2013. godine ratifikovala ovu Konvenciju (Službeni glasnik BiH br. 15/13) i obavezala se na preduzimanje niza zakonodavnih i drugih mjera u pravcu sprečavanja nasilja prema ženama, podršku i pomoć ženama koje su preživjele nasilje, kao i kažnjavanje počinilaca nasilja.</w:t>
      </w:r>
    </w:p>
  </w:footnote>
  <w:footnote w:id="2">
    <w:p w:rsidR="006B3E25" w:rsidRPr="00AE61B4" w:rsidRDefault="006B3E25">
      <w:pPr>
        <w:pStyle w:val="FootnoteText"/>
        <w:rPr>
          <w:sz w:val="18"/>
          <w:szCs w:val="18"/>
        </w:rPr>
      </w:pPr>
      <w:r w:rsidRPr="00AE61B4">
        <w:rPr>
          <w:rStyle w:val="FootnoteReference"/>
          <w:sz w:val="18"/>
          <w:szCs w:val="18"/>
        </w:rPr>
        <w:footnoteRef/>
      </w:r>
      <w:r w:rsidRPr="00AE61B4">
        <w:rPr>
          <w:sz w:val="18"/>
          <w:szCs w:val="18"/>
        </w:rPr>
        <w:t xml:space="preserve"> Prema podacima kantonalnih ministarstava unutrašnjih poslova u FBiH, u 2014 godini je, prema čl. 222 KZFBiH evidentirano 1459 slučajeva,a podneseno 992 izvještaja o počinjenom krivičnom djelu nasilja u porodici, za razliku od 2013. godine, kada je evidentirano 1699 slučajeva, a podneseno 916 izvještaja o počinjenom krivičnom djelu nasilja u porodici. U 6 sigurnih kuća u FBiH koje vode nevladine organizacije Fondacija lokalne demokratije Sarajevo, Medica, Zenica, Vive žene Tuzla, Žene sa Une Bihać, Žena BiH Mostar i Caritas Mostar, u 2015. godini bilo je smješteno 264, a u 2014.g 373 žena i djece koji su preživjeli nasilje, dok je SOS telefon 1265 koji vode navedene organizacije (sa izuzetkom Caritas Mostar) i Centar za socijalni rad Jajce u 2015. evidentirao 914, a u 2014.g 1103 poziva. Izvor: Gender centar Vlade FBiH, dostupno na linku: http://goo.gl/YHtprS (posljednji pristup 19.07.2016.) Prema podacima Ministarstva unutrašnjih poslova RS, u 2015. godini evidentirano je 1089 slučajeva, a podneseno 353 izvještaja nadležnom tužilaštvu, dok je u 2014. godini evidentirano 1236 slučajeva, a podneseno 525 izvještaja nadležnom tužilaštvu. SOS telefon za žrtve nasilja 1264 u RS, koji vode Fondacija Lara Biljeljina, Udruženje građana Budućnost Modriča i Fondacija Udružene žene Banja Luka u 2014. godini primio je 3879 poziva za pomoć. Izvor: Ministarstvo porodice, omladine i sporta Vlade RS, dostupno na: http://goo.gl/y7GDOB (posljednji pristup 19.07.2016.).</w:t>
      </w:r>
    </w:p>
  </w:footnote>
  <w:footnote w:id="3">
    <w:p w:rsidR="006B3E25" w:rsidRPr="00AE61B4" w:rsidRDefault="006B3E25">
      <w:pPr>
        <w:pStyle w:val="FootnoteText"/>
        <w:rPr>
          <w:sz w:val="18"/>
          <w:szCs w:val="18"/>
        </w:rPr>
      </w:pPr>
      <w:r w:rsidRPr="00AE61B4">
        <w:rPr>
          <w:rStyle w:val="FootnoteReference"/>
          <w:sz w:val="18"/>
          <w:szCs w:val="18"/>
        </w:rPr>
        <w:footnoteRef/>
      </w:r>
      <w:r w:rsidRPr="00AE61B4">
        <w:rPr>
          <w:sz w:val="18"/>
          <w:szCs w:val="18"/>
        </w:rPr>
        <w:t xml:space="preserve"> Vidi Izvještaj o provedbi Gender akcionog plana za BiH za 2014. godinu, Agencija za ravnopravnost spolova BiH, decembar 2015. Dostupno na direktnom linku: http://goo.gl/j25wkM (posljednji pristup 15.06.2016.).</w:t>
      </w:r>
    </w:p>
  </w:footnote>
  <w:footnote w:id="4">
    <w:p w:rsidR="006B3E25" w:rsidRPr="00AE61B4" w:rsidRDefault="006B3E25">
      <w:pPr>
        <w:pStyle w:val="FootnoteText"/>
        <w:rPr>
          <w:sz w:val="18"/>
          <w:szCs w:val="18"/>
        </w:rPr>
      </w:pPr>
      <w:r w:rsidRPr="00AE61B4">
        <w:rPr>
          <w:rStyle w:val="FootnoteReference"/>
          <w:sz w:val="18"/>
          <w:szCs w:val="18"/>
        </w:rPr>
        <w:footnoteRef/>
      </w:r>
      <w:r w:rsidRPr="00AE61B4">
        <w:rPr>
          <w:sz w:val="18"/>
          <w:szCs w:val="18"/>
        </w:rPr>
        <w:t xml:space="preserve"> Studija „Rasprostranjenost i karakteristike nasilja prema ženama u BiH“ koju je provela Agencija za ravnopravnost spolova BiH 2013.g. ukazuje da je samo 5.5% žena izloženih nasilju zaista i potražilo pomoć neke od institucija. Dostupno na web stranici Agencije za ravnopravnost spolova BiH, direktan link: http://goo.gl/9MhMRF (posljednji pristup 17.06.2016.)</w:t>
      </w:r>
    </w:p>
  </w:footnote>
  <w:footnote w:id="5">
    <w:p w:rsidR="006B3E25" w:rsidRPr="00AE61B4" w:rsidRDefault="006B3E25">
      <w:pPr>
        <w:pStyle w:val="FootnoteText"/>
        <w:rPr>
          <w:sz w:val="18"/>
          <w:szCs w:val="18"/>
        </w:rPr>
      </w:pPr>
      <w:r w:rsidRPr="00AE61B4">
        <w:rPr>
          <w:rStyle w:val="FootnoteReference"/>
          <w:sz w:val="18"/>
          <w:szCs w:val="18"/>
        </w:rPr>
        <w:footnoteRef/>
      </w:r>
      <w:r w:rsidRPr="00AE61B4">
        <w:rPr>
          <w:sz w:val="18"/>
          <w:szCs w:val="18"/>
        </w:rPr>
        <w:t xml:space="preserve"> Fondacija Udružene žene Banja Luka je tokom 2015. godine provodila kontinuirani monitoring medijskih izvještaja o ubistvima žena u BiH, tokom kojeg je evidentirano 14 slučajeva, dok je u prvih šest mjeseci 2016. godine, evidentirano 7 slučajeva ubistava žena.  </w:t>
      </w:r>
    </w:p>
  </w:footnote>
  <w:footnote w:id="6">
    <w:p w:rsidR="006B3E25" w:rsidRPr="00AE61B4" w:rsidRDefault="006B3E25">
      <w:pPr>
        <w:pStyle w:val="FootnoteText"/>
        <w:rPr>
          <w:sz w:val="18"/>
          <w:szCs w:val="18"/>
        </w:rPr>
      </w:pPr>
      <w:r w:rsidRPr="00AE61B4">
        <w:rPr>
          <w:rStyle w:val="FootnoteReference"/>
          <w:sz w:val="18"/>
          <w:szCs w:val="18"/>
        </w:rPr>
        <w:footnoteRef/>
      </w:r>
      <w:r w:rsidRPr="00AE61B4">
        <w:rPr>
          <w:sz w:val="18"/>
          <w:szCs w:val="18"/>
        </w:rPr>
        <w:t xml:space="preserve"> U ova djela spadaju i teške tjelesne povrede, silovanje, seksualno nasilje kao ratni zločin, spolno nasilje nad djecom, obljuba nad nemoćnim licem, ugrožavanje sigurnosti, trgovina ljudima, prisiljavanje na prostituciju, krivična djela počinjena iz mržnje, trgovina maloljetnicima i slično, u kojim se kao oštećene osobe pojavljuju žene i djevojčice, a koja su regulisana krivični   zakonima RS, FBiH, BD BiH, kao i djelomično Krivičnim zakonom BiH.</w:t>
      </w:r>
    </w:p>
  </w:footnote>
  <w:footnote w:id="7">
    <w:p w:rsidR="006B3E25" w:rsidRPr="00AE61B4" w:rsidRDefault="006B3E25" w:rsidP="006B3E25">
      <w:pPr>
        <w:pStyle w:val="FootnoteText"/>
        <w:rPr>
          <w:sz w:val="18"/>
          <w:szCs w:val="18"/>
        </w:rPr>
      </w:pPr>
      <w:r w:rsidRPr="00AE61B4">
        <w:rPr>
          <w:rStyle w:val="FootnoteReference"/>
          <w:sz w:val="18"/>
          <w:szCs w:val="18"/>
        </w:rPr>
        <w:footnoteRef/>
      </w:r>
      <w:r w:rsidRPr="00AE61B4">
        <w:rPr>
          <w:sz w:val="18"/>
          <w:szCs w:val="18"/>
        </w:rPr>
        <w:t xml:space="preserve"> U periodu 2013/2014, Ministarstvo porodice, omladine i sporta Vlade RS usvojilo je Pravilnik o sadržaju evidencije i izvještaja o nasilju u porodici koji propisuje obavezu subjekata zaštite definisanih Zakonom o zaštiti od nasilja u porodici RS da kontinuirano prikupljaju administrativne podatke o nasilju u porodici i da ih dva puta godišnje dostavljaju ministarstvu na propisanim obrascima. Ministarstvo javno objavljuje zbirne podatke na zvaničnoj internet stranici. </w:t>
      </w:r>
    </w:p>
    <w:p w:rsidR="006B3E25" w:rsidRPr="00AE61B4" w:rsidRDefault="006B3E25" w:rsidP="006B3E25">
      <w:pPr>
        <w:pStyle w:val="FootnoteText"/>
        <w:rPr>
          <w:sz w:val="18"/>
          <w:szCs w:val="18"/>
        </w:rPr>
      </w:pPr>
      <w:r w:rsidRPr="00AE61B4">
        <w:rPr>
          <w:sz w:val="18"/>
          <w:szCs w:val="18"/>
        </w:rPr>
        <w:t>Gender centar Vlade FBiH, u saradnji sa Stručnim timom za izradu i praćenje provođenja Strategije za sprečavanje i borbu protiv nasilja u porodici FBiH, policijskim je stanicama, centrima za socijalni rad i nevladinim organizacijama koje su odabrane za pilot projekat, uspostavio elektronsku bazu podataka o prijavljivanju slučajeva nasilja u porodici policiji, praćenju zaštitnih mjera od strane centara za socijalni rad, smještaju žena koje su preživjele nasilje u sigurne kuće koje vode nevladine organizacije u FBiH, kao i SOS pozivima na 1265. Sigurne kuće u FBiH vode evidenciju svojih korisnica, a ovi podaci se  na kraju svake godine objedinjuju u  jedinstveni statistički izvještaj Gender centra FBiH o broju smještenih korisnica i broju SOS poziva.</w:t>
      </w:r>
    </w:p>
  </w:footnote>
  <w:footnote w:id="8">
    <w:p w:rsidR="006B3E25" w:rsidRPr="00AE61B4" w:rsidRDefault="006B3E25">
      <w:pPr>
        <w:pStyle w:val="FootnoteText"/>
        <w:rPr>
          <w:sz w:val="18"/>
          <w:szCs w:val="18"/>
        </w:rPr>
      </w:pPr>
      <w:r w:rsidRPr="00AE61B4">
        <w:rPr>
          <w:rStyle w:val="FootnoteReference"/>
          <w:sz w:val="18"/>
          <w:szCs w:val="18"/>
        </w:rPr>
        <w:footnoteRef/>
      </w:r>
      <w:r w:rsidRPr="00AE61B4">
        <w:rPr>
          <w:sz w:val="18"/>
          <w:szCs w:val="18"/>
        </w:rPr>
        <w:t xml:space="preserve"> Zakon se trenutno nalazi u formi prednacrta koji je izradila Radna grupa čijim radom koordinira Ured za zdravstvo Vlade BD BiH, a upućen je na mišljenje Komisiji za ravnopravnost spolova Skupštine BD BiH. Prezentacija “Proces izrade Zakona o zaštiti od nasilja u porodici u BD BiH”, Delfa Dejanović, savjetnica gradonačelnika pri Uredu gradonačelnika BD BiH na radionici „Prioriteti djelovanja u okviru Programske platforme saradnje parlamentarki Parlamentarne skupštine BiH i Skupštine BD BiH i žena aktivnih u nevladinim organizacijama za period 2016 – 2018” 10.-12. juni 2016.</w:t>
      </w:r>
    </w:p>
  </w:footnote>
  <w:footnote w:id="9">
    <w:p w:rsidR="006B3E25" w:rsidRPr="00AE61B4" w:rsidRDefault="006B3E25">
      <w:pPr>
        <w:pStyle w:val="FootnoteText"/>
        <w:rPr>
          <w:sz w:val="18"/>
          <w:szCs w:val="18"/>
        </w:rPr>
      </w:pPr>
      <w:r w:rsidRPr="00AE61B4">
        <w:rPr>
          <w:rStyle w:val="FootnoteReference"/>
          <w:sz w:val="18"/>
          <w:szCs w:val="18"/>
        </w:rPr>
        <w:footnoteRef/>
      </w:r>
      <w:r w:rsidRPr="00AE61B4">
        <w:rPr>
          <w:sz w:val="18"/>
          <w:szCs w:val="18"/>
        </w:rPr>
        <w:t xml:space="preserve"> Udruženje aktivnih žena Gender Brčko distrikt kontinuirano prikuplja informacije od lokalnih institucija (policija, tužilaštvo, sud, centar za socijalni rad, centar za mentalno zdravlje). Prema dobivenim podacima, policiji BD BiH u 2013. godini je prijavljeno 14 slučajeva, a do septembra 2014. godine 10 slučajeva nasilja u porodici, u kojima su kao žrtve identifikovane žene i djevojčice. Tužilaštvo BD BiH je u 2013. godini podiglo 13 optužnica, u 2014. godini 9 optužnica, a u 2015. godini 8 optužnica za krivično djelo nasilja u porodici, i u 2013. godini 1 optužnicu za krivično djelo silovanja. Osnovni sud BD BiH je u 2013. godini donio 5 presuda, u 2014. godini 10 presuda, i u 2015. godini 10 presuda za krivično djelo nasilja u porodici. Od ukupnog broja presuda, 29% su uslovne osude, 1 oslobađajuća presuda i 1 obustavljen postupak, dok ostatak čine kazne zatvora u rasponu od mjesec dana do 1 godine. Podaci Centra za mentalno zdravlje BD BiH ukazuju da je u 2013. godini identifikovano 319 porodica, 2014. godini 183 porodice i u 2015. godini 310 porodica u kojima se dešavalo nasilničko ponašanje i sa kojima su profesionalci/ke radili u oblasti psihološke i psihoterapijske podrške i pomoći. Prema podacima Centra za socijalni rad BD BiH, u 2013. godini evidentirana su 53 slučaja, a do početka novembra 2014. godine 32 slučaja nasilja u porodici. Centar je u 2011. g smjestio u sigurne kuće (u Bijeljini i Modriči) 1 majku sa djetetom od godinu dana i jednu djevojku od 17 godina, te snosio troškove smještaja iz budžetskih sredstava. Od tog perioda, do sredine novembra 2014.g, niti jedna žena, dijete, djevojčica nije smještena u sigurne kuće. U dopisu dostavljenom sredinom novembra 2014., Centar ističe da ne vodi posebnu evidenciju o učestalosti prijave nasilja te da se savjetodavni rad sa žrtvom i počiniocem nasilja provodi u redovnoj proceduri, u skladu sa pravilima profesije i potrebama pojedinačnog slučaja i u obimu kojeg zahtjeva pojedinačna situacija.  </w:t>
      </w:r>
    </w:p>
  </w:footnote>
  <w:footnote w:id="10">
    <w:p w:rsidR="006B3E25" w:rsidRPr="00AE61B4" w:rsidRDefault="006B3E25">
      <w:pPr>
        <w:pStyle w:val="FootnoteText"/>
        <w:rPr>
          <w:sz w:val="18"/>
          <w:szCs w:val="18"/>
        </w:rPr>
      </w:pPr>
      <w:r w:rsidRPr="00AE61B4">
        <w:rPr>
          <w:rStyle w:val="FootnoteReference"/>
          <w:sz w:val="18"/>
          <w:szCs w:val="18"/>
        </w:rPr>
        <w:footnoteRef/>
      </w:r>
      <w:r w:rsidRPr="00AE61B4">
        <w:rPr>
          <w:sz w:val="18"/>
          <w:szCs w:val="18"/>
        </w:rPr>
        <w:t xml:space="preserve"> Vidi detaljnije Petrić Natalija, Galić Nenad „Osnovna studija: Analiza usklađenosti zakonodavstva i javnih politika sa Konvencijom Vijeća Evrope o sprečavanju i borbi protiv nasilja nad ženama i nasilja u porodici“ , drugo dopunjeno izdanje, Banja Luka, novembar 2015, Fondacija Udružene žene Banja Luka. Dostupno na direktnom linku: http://goo.gl/PhM8Nt (posljednji pristup 22.05.2016.)</w:t>
      </w:r>
    </w:p>
  </w:footnote>
  <w:footnote w:id="11">
    <w:p w:rsidR="006B3E25" w:rsidRPr="00AE61B4" w:rsidRDefault="006B3E25">
      <w:pPr>
        <w:pStyle w:val="FootnoteText"/>
        <w:rPr>
          <w:sz w:val="18"/>
          <w:szCs w:val="18"/>
        </w:rPr>
      </w:pPr>
      <w:r w:rsidRPr="00AE61B4">
        <w:rPr>
          <w:rStyle w:val="FootnoteReference"/>
          <w:sz w:val="18"/>
          <w:szCs w:val="18"/>
        </w:rPr>
        <w:footnoteRef/>
      </w:r>
      <w:r w:rsidRPr="00AE61B4">
        <w:rPr>
          <w:sz w:val="18"/>
          <w:szCs w:val="18"/>
        </w:rPr>
        <w:t xml:space="preserve"> Dženana Radončić, Aleksandra Petrić „Izvještaj i analiza praćenja krivičnih postupaka u oblasti rodno zasnovanog nasilja“, Centar za pravnu pomoć ženama iz Zenice i Fondacija Udružene žene Banja Luka, 2014. Dostupno na direktnom linku: http://goo.gl/KFGlxz  (posljednji pristup 03.07.2016.)</w:t>
      </w:r>
    </w:p>
  </w:footnote>
  <w:footnote w:id="12">
    <w:p w:rsidR="006B3E25" w:rsidRPr="00AE61B4" w:rsidRDefault="006B3E25">
      <w:pPr>
        <w:pStyle w:val="FootnoteText"/>
        <w:rPr>
          <w:sz w:val="18"/>
          <w:szCs w:val="18"/>
        </w:rPr>
      </w:pPr>
      <w:r w:rsidRPr="00AE61B4">
        <w:rPr>
          <w:rStyle w:val="FootnoteReference"/>
          <w:sz w:val="18"/>
          <w:szCs w:val="18"/>
        </w:rPr>
        <w:footnoteRef/>
      </w:r>
      <w:r w:rsidRPr="00AE61B4">
        <w:rPr>
          <w:sz w:val="18"/>
          <w:szCs w:val="18"/>
        </w:rPr>
        <w:t xml:space="preserve"> Podaci prikupljeni tokom 2016. godine, kroz monitoring krivičnih postupaka na području FBiH (Zeničko-dobojski kanton) pokazuju nizak broj izrečenih zaštitnih mjera, a kao razlog se ističe nedovoljno resursa za njihovo efikasno provođenje (ljudskih i finansijskih). Zaštitne mjere se ne izriču u odnosu na djecu, samo u odnosu na ženu, iako su i djeca oštećena krivičnim djelom nasilja u porodici.</w:t>
      </w:r>
    </w:p>
  </w:footnote>
  <w:footnote w:id="13">
    <w:p w:rsidR="006B3E25" w:rsidRPr="00AE61B4" w:rsidRDefault="006B3E25">
      <w:pPr>
        <w:pStyle w:val="FootnoteText"/>
        <w:rPr>
          <w:sz w:val="18"/>
          <w:szCs w:val="18"/>
        </w:rPr>
      </w:pPr>
      <w:r w:rsidRPr="00AE61B4">
        <w:rPr>
          <w:rStyle w:val="FootnoteReference"/>
          <w:sz w:val="18"/>
          <w:szCs w:val="18"/>
        </w:rPr>
        <w:footnoteRef/>
      </w:r>
      <w:r w:rsidRPr="00AE61B4">
        <w:rPr>
          <w:sz w:val="18"/>
          <w:szCs w:val="18"/>
        </w:rPr>
        <w:t xml:space="preserve"> Takav zaključak proizilazi iz dosad prikupljenih podataka na području Srednjobosanskog i Hercegovačko-neretvanskog  kantona, dok je na području Zeničko-dobojskog kantona uočen jedan slučaj postavljanja imovinskopravnog zahtjeva u krivičnom postupku.</w:t>
      </w:r>
    </w:p>
  </w:footnote>
  <w:footnote w:id="14">
    <w:p w:rsidR="006B3E25" w:rsidRPr="00AE61B4" w:rsidRDefault="006B3E25">
      <w:pPr>
        <w:pStyle w:val="FootnoteText"/>
        <w:rPr>
          <w:sz w:val="18"/>
          <w:szCs w:val="18"/>
        </w:rPr>
      </w:pPr>
      <w:r w:rsidRPr="00AE61B4">
        <w:rPr>
          <w:rStyle w:val="FootnoteReference"/>
          <w:sz w:val="18"/>
          <w:szCs w:val="18"/>
        </w:rPr>
        <w:footnoteRef/>
      </w:r>
      <w:r w:rsidRPr="00AE61B4">
        <w:rPr>
          <w:sz w:val="18"/>
          <w:szCs w:val="18"/>
        </w:rPr>
        <w:t xml:space="preserve"> Na primjer, Zakonom o izmjenama i dopunama Krivičnog zakona RS (Sl. gl. 67/13) pooštrene su krivične sankcije za krivična djela protiv spolnog integriteta i krivična djela protiv braka i porodice. Prema Krivičnom zakonu FBiH (Sl. Novine broj: 36/03, 37/03, 21/04, 69/04, 18/05, 42/10, 42/11, 59/14, 76/14, 46/16)  za neka od istih krivičnih djela sankcije su i dalje blaže u odnosu na RS.</w:t>
      </w:r>
    </w:p>
  </w:footnote>
  <w:footnote w:id="15">
    <w:p w:rsidR="006B3E25" w:rsidRPr="00AE61B4" w:rsidRDefault="006B3E25">
      <w:pPr>
        <w:pStyle w:val="FootnoteText"/>
        <w:rPr>
          <w:sz w:val="18"/>
          <w:szCs w:val="18"/>
        </w:rPr>
      </w:pPr>
      <w:r w:rsidRPr="00AE61B4">
        <w:rPr>
          <w:rStyle w:val="FootnoteReference"/>
          <w:sz w:val="18"/>
          <w:szCs w:val="18"/>
        </w:rPr>
        <w:footnoteRef/>
      </w:r>
      <w:r w:rsidRPr="00AE61B4">
        <w:rPr>
          <w:sz w:val="18"/>
          <w:szCs w:val="18"/>
        </w:rPr>
        <w:t xml:space="preserve"> U FBiH je sistem besplatne pravne pomoći stavljen u nadležnost kantona u okviru kojih postoje uredi za pružanje pravne pomoći (osim u Srednjobosanskom i kantonu 10). U RS centri za besplatnu pravnu pomoć su uspostavljeni u pet gradova, dok je u BD BiH sistem besplatne pravne pomoći regulisan i u potpunosti uspostavljen još 2002. godine. Pristup uslugama uslovljen  je imovinskim cenzusom, prilikom čega postoji neujednačenost i oko definisanja ko se smatra osobom lošeg imovinskog stanja. Česte su situacije da žene koje su preživjele nasilje nemaju pristup sistemskoj pravnoj pomoći, iako su nezaposlene i ekonomski ovisne o počiniocu nasilja  jer se njegova imovina ili prihodi uzimaju u obzir prilikom razmatranja prava žena žrtava nasilja na pravnu pomoć, u smislu imovinskog cenzusa.</w:t>
      </w:r>
    </w:p>
  </w:footnote>
  <w:footnote w:id="16">
    <w:p w:rsidR="006B3E25" w:rsidRPr="00AE61B4" w:rsidRDefault="006B3E25" w:rsidP="006B3E25">
      <w:pPr>
        <w:pStyle w:val="FootnoteText"/>
        <w:rPr>
          <w:sz w:val="18"/>
          <w:szCs w:val="18"/>
        </w:rPr>
      </w:pPr>
      <w:r w:rsidRPr="00AE61B4">
        <w:rPr>
          <w:rStyle w:val="FootnoteReference"/>
          <w:sz w:val="18"/>
          <w:szCs w:val="18"/>
        </w:rPr>
        <w:footnoteRef/>
      </w:r>
      <w:r w:rsidRPr="00AE61B4">
        <w:rPr>
          <w:sz w:val="18"/>
          <w:szCs w:val="18"/>
        </w:rPr>
        <w:t xml:space="preserve"> Vidi detaljnije  „Analiza usklađenosti postojećih standarda servisa koji se pružaju žrtvama nasilja u porodici u FBiH i RS sa Istambulskom konvencijom“, Sarajevo, septembar 2015. godine, Fondacija lokalne demokratije Sarajevo</w:t>
      </w:r>
    </w:p>
    <w:p w:rsidR="006B3E25" w:rsidRPr="00AE61B4" w:rsidRDefault="006B3E25" w:rsidP="006B3E25">
      <w:pPr>
        <w:pStyle w:val="FootnoteText"/>
        <w:rPr>
          <w:sz w:val="18"/>
          <w:szCs w:val="18"/>
        </w:rPr>
      </w:pPr>
    </w:p>
  </w:footnote>
  <w:footnote w:id="17">
    <w:p w:rsidR="00AE61B4" w:rsidRPr="00AE61B4" w:rsidRDefault="00AE61B4">
      <w:pPr>
        <w:pStyle w:val="FootnoteText"/>
        <w:rPr>
          <w:sz w:val="18"/>
          <w:szCs w:val="18"/>
        </w:rPr>
      </w:pPr>
      <w:r w:rsidRPr="00AE61B4">
        <w:rPr>
          <w:rStyle w:val="FootnoteReference"/>
          <w:sz w:val="18"/>
          <w:szCs w:val="18"/>
        </w:rPr>
        <w:footnoteRef/>
      </w:r>
      <w:r w:rsidRPr="00AE61B4">
        <w:rPr>
          <w:sz w:val="18"/>
          <w:szCs w:val="18"/>
        </w:rPr>
        <w:t xml:space="preserve"> Tako je u jednom predmetu povodom krivičnog djela nasilja u porodici (Zeničko-dobojski kanton), sudija preko stola upitao optuženog: „Hoćeš ti uslovnu osudu?“, bez ozbiljnog razmatranja svih otežavajućih okolnosti konkretnog slučaja i bez uzimanja u obzir ciljeva specijalne i generalne prevencije.  </w:t>
      </w:r>
    </w:p>
  </w:footnote>
  <w:footnote w:id="18">
    <w:p w:rsidR="00AE61B4" w:rsidRPr="00AE61B4" w:rsidRDefault="00AE61B4">
      <w:pPr>
        <w:pStyle w:val="FootnoteText"/>
        <w:rPr>
          <w:sz w:val="18"/>
          <w:szCs w:val="18"/>
        </w:rPr>
      </w:pPr>
      <w:r w:rsidRPr="00AE61B4">
        <w:rPr>
          <w:rStyle w:val="FootnoteReference"/>
          <w:sz w:val="18"/>
          <w:szCs w:val="18"/>
        </w:rPr>
        <w:footnoteRef/>
      </w:r>
      <w:r w:rsidRPr="00AE61B4">
        <w:rPr>
          <w:sz w:val="18"/>
          <w:szCs w:val="18"/>
        </w:rPr>
        <w:t xml:space="preserve"> Navedeni problem je uočen kroz monitoring rada sudova tokom 2016. godine u Hercegovačko-neretvanskom kantonu.</w:t>
      </w:r>
    </w:p>
  </w:footnote>
  <w:footnote w:id="19">
    <w:p w:rsidR="00AE61B4" w:rsidRPr="00AE61B4" w:rsidRDefault="00AE61B4">
      <w:pPr>
        <w:pStyle w:val="FootnoteText"/>
        <w:rPr>
          <w:sz w:val="18"/>
          <w:szCs w:val="18"/>
        </w:rPr>
      </w:pPr>
      <w:r w:rsidRPr="00AE61B4">
        <w:rPr>
          <w:rStyle w:val="FootnoteReference"/>
          <w:sz w:val="18"/>
          <w:szCs w:val="18"/>
        </w:rPr>
        <w:footnoteRef/>
      </w:r>
      <w:r w:rsidRPr="00AE61B4">
        <w:rPr>
          <w:sz w:val="18"/>
          <w:szCs w:val="18"/>
        </w:rPr>
        <w:t xml:space="preserve"> Sigurne kuće u RS mogu osnovati pravna lica., Preživjele se zbrinjavaju na osnovu rješenja nadležnog centra za socijalni rad, uz saglasnost preživjele, a žena koja je preživjela nasilje ima zakonsku mogućnost da traži od centra za socijalni rad izricanje privremene mjere zbrinjavanja i smještaja sigurnu kuću. Sredstva za finansiranje privremenog zbrinjavanja i smještaja se izdvajaju 70% iz budžeta RS, kroz Ministarstvo porodice, omladine i sporta, a 30% iz budžeta lokalnih zajednica, u skladu sa utvrđenom cijenom smještaja. Prema trenutno važećim zakonu u FBiH, sigurnu kuću mogu osnovati pravna i fizička lica. Preživjele se pored smještaja u sigurnu kuću mogu zbrinuti u drugoj odgovarajućoj instituciji ili kod druge porodice, a na osnovu rješenja organa starateljstva, uz saglasnost preživjele, koja nema zakonsku mogućnost da sama traži provođenje ove mjere. Sredstva za finansiranje privremenog zbrinjavanja i smještaja se izdvajaju u visini od 30% iz budžeta kantona i 70% iz budžeta FBiH. (Zakon o zaštiti od nasilja u porodici RS, Službeni glasnik br. 102/12, 108/13,i 82/15, Zakon o zaštiti od nasilja u porodici FBiH, Službene novine FBiH br. 20/13).</w:t>
      </w:r>
    </w:p>
  </w:footnote>
  <w:footnote w:id="20">
    <w:p w:rsidR="00AE61B4" w:rsidRPr="00AE61B4" w:rsidRDefault="00AE61B4">
      <w:pPr>
        <w:pStyle w:val="FootnoteText"/>
        <w:rPr>
          <w:sz w:val="18"/>
          <w:szCs w:val="18"/>
        </w:rPr>
      </w:pPr>
      <w:r w:rsidRPr="00AE61B4">
        <w:rPr>
          <w:rStyle w:val="FootnoteReference"/>
          <w:sz w:val="18"/>
          <w:szCs w:val="18"/>
        </w:rPr>
        <w:footnoteRef/>
      </w:r>
      <w:r w:rsidRPr="00AE61B4">
        <w:rPr>
          <w:sz w:val="18"/>
          <w:szCs w:val="18"/>
        </w:rPr>
        <w:t xml:space="preserve"> Sigurne kuće za žene i djecu žrtve nasilja djeluju u okviru sljedećih nevladinih organizacija u BiH: Fondacija lokalne demokratije Sarajevo, Medica Zenica, Vive žene Tuzla, Žene sa Une Bihać, Fondacija Udružene žene Banja Luka, Udruženje građana Budućnost Modriča i Fondacija Lara Bijeljina.</w:t>
      </w:r>
    </w:p>
  </w:footnote>
  <w:footnote w:id="21">
    <w:p w:rsidR="00AE61B4" w:rsidRPr="00AE61B4" w:rsidRDefault="00AE61B4">
      <w:pPr>
        <w:pStyle w:val="FootnoteText"/>
        <w:rPr>
          <w:sz w:val="18"/>
          <w:szCs w:val="18"/>
        </w:rPr>
      </w:pPr>
      <w:r w:rsidRPr="00AE61B4">
        <w:rPr>
          <w:rStyle w:val="FootnoteReference"/>
          <w:sz w:val="18"/>
          <w:szCs w:val="18"/>
        </w:rPr>
        <w:footnoteRef/>
      </w:r>
      <w:r w:rsidRPr="00AE61B4">
        <w:rPr>
          <w:sz w:val="18"/>
          <w:szCs w:val="18"/>
        </w:rPr>
        <w:t xml:space="preserve"> Trenutno je u toku javna rasprava o prednacrtu Zakona o izmjenama i dopunama Zakona o zaštiti od nasilja u porodici FBiH, koju je pokrenulo Federalno ministarstvo pravde 24. aprila 2016.g. Tekst prednacrta zakona dostupan na web stranici Ministarstva, na direktnom linku: http://goo.gl/400hx3  (posljednji pristup 22.07.2016.)</w:t>
      </w:r>
    </w:p>
  </w:footnote>
  <w:footnote w:id="22">
    <w:p w:rsidR="00AE61B4" w:rsidRPr="00AE61B4" w:rsidRDefault="00AE61B4">
      <w:pPr>
        <w:pStyle w:val="FootnoteText"/>
        <w:rPr>
          <w:sz w:val="18"/>
          <w:szCs w:val="18"/>
        </w:rPr>
      </w:pPr>
      <w:r w:rsidRPr="00AE61B4">
        <w:rPr>
          <w:rStyle w:val="FootnoteReference"/>
          <w:sz w:val="18"/>
          <w:szCs w:val="18"/>
        </w:rPr>
        <w:footnoteRef/>
      </w:r>
      <w:r w:rsidRPr="00AE61B4">
        <w:rPr>
          <w:sz w:val="18"/>
          <w:szCs w:val="18"/>
        </w:rPr>
        <w:t xml:space="preserve"> Prijedlog rješenja je dostavljen Klubu parlamentarki FBiH, Ministarstvu rada i socijalne politike FBiH i Ministarstvu pravde FBiH. Dostupan je na direktnom linku: http://goo.gl/eS9gNg  (posljednji pristup 22.07.2016.)</w:t>
      </w:r>
    </w:p>
  </w:footnote>
  <w:footnote w:id="23">
    <w:p w:rsidR="00AE61B4" w:rsidRPr="00AE61B4" w:rsidRDefault="00AE61B4" w:rsidP="00AE61B4">
      <w:pPr>
        <w:pStyle w:val="FootnoteText"/>
        <w:rPr>
          <w:sz w:val="18"/>
          <w:szCs w:val="18"/>
        </w:rPr>
      </w:pPr>
      <w:r w:rsidRPr="00AE61B4">
        <w:rPr>
          <w:rStyle w:val="FootnoteReference"/>
          <w:sz w:val="18"/>
          <w:szCs w:val="18"/>
        </w:rPr>
        <w:footnoteRef/>
      </w:r>
      <w:r w:rsidRPr="00AE61B4">
        <w:rPr>
          <w:sz w:val="18"/>
          <w:szCs w:val="18"/>
        </w:rPr>
        <w:t xml:space="preserve"> Iskustva u radu Sigurne kuće koju vodi Fondacija Udružene žene Banja Luka i Fondacija Lara Bijeljina, na osnovu izjava osoblja i dopisa upućenih od nadležnih centara za socijalni rad kojim se odbija smještaj u sigurnu kuću. Na ovaj problem ukazuje i Analiza usklađenosti zakonodavstva i javnih politika u BiH sa Konvencijom o sprečavanju i suzbijanju nasilja prema ženama i nasilja u porodici, drugo dopunjeno izdanje, Banja Luka novembar 2015, Fondacija Udružene žene Banja Luka, strana 62.</w:t>
      </w:r>
    </w:p>
    <w:p w:rsidR="00AE61B4" w:rsidRPr="00AE61B4" w:rsidRDefault="00AE61B4" w:rsidP="00AE61B4">
      <w:pPr>
        <w:pStyle w:val="FootnoteText"/>
        <w:rPr>
          <w:sz w:val="18"/>
          <w:szCs w:val="18"/>
        </w:rPr>
      </w:pPr>
      <w:r w:rsidRPr="00AE61B4">
        <w:rPr>
          <w:sz w:val="18"/>
          <w:szCs w:val="18"/>
        </w:rPr>
        <w:t>Iskustvo Sigurne kuće koju vodi Fondacija lokalne demokratije Sarajevo, na osnovu izjave menadžerice,  predstavlja primjer pozitivne prakse rješavanja samoodrživosti. Kanton Sarajevo je jedina lokalna zajednica na čitavoj teritoriji BiH koja je sistemski riješila finansiranje rada i funkcionisanja Sigurne kuće na način potpisivanja sporazuma o sufinansiranju boravka žrtava u skloništu između Fondacije lokalne demokratije i Ministarstva za rad, socijalnu politiku, izbjeglice i raseljena lica Kantona Sarajevo i Kantonalnim centrom za socijalni rad (KCSR). Na taj način se obezbjeđuju sredstva za smještaj korisnica u Sigurnoj kući u iznosu od 70% ukupnih troškova. KCSR ne donosi unaprijed planirani budžet, a smještaj žrtava se vrši u skladu sa prijavom nasilja, odnosno potrebom zbrinjavanja žrtve. Ne postoji situacija da zbog nedostatka sredstava nije bilo moguće smjestiti žrtvu u sigurnu kuću. Ostale sigurne kuće na nivou FBiH nisu uspjele na isti način regulisati participaciju troškova smještaja žrtava u sigurnim kućama.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D57"/>
    <w:multiLevelType w:val="hybridMultilevel"/>
    <w:tmpl w:val="F4A4C00C"/>
    <w:lvl w:ilvl="0" w:tplc="1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82F16"/>
    <w:multiLevelType w:val="hybridMultilevel"/>
    <w:tmpl w:val="09AED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FC4015"/>
    <w:multiLevelType w:val="hybridMultilevel"/>
    <w:tmpl w:val="6E121A4C"/>
    <w:lvl w:ilvl="0" w:tplc="141A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617A1"/>
    <w:multiLevelType w:val="hybridMultilevel"/>
    <w:tmpl w:val="605288EE"/>
    <w:lvl w:ilvl="0" w:tplc="141A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7F25B66"/>
    <w:multiLevelType w:val="hybridMultilevel"/>
    <w:tmpl w:val="60BC8F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6D6888"/>
    <w:multiLevelType w:val="hybridMultilevel"/>
    <w:tmpl w:val="F9D894C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numStart w:val="6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CA"/>
    <w:rsid w:val="00124515"/>
    <w:rsid w:val="0028252A"/>
    <w:rsid w:val="002D6773"/>
    <w:rsid w:val="00317EAA"/>
    <w:rsid w:val="00364482"/>
    <w:rsid w:val="003C0BCA"/>
    <w:rsid w:val="00486D82"/>
    <w:rsid w:val="004C00D0"/>
    <w:rsid w:val="004F6A67"/>
    <w:rsid w:val="0057103A"/>
    <w:rsid w:val="005820EC"/>
    <w:rsid w:val="005F4A56"/>
    <w:rsid w:val="006A3A99"/>
    <w:rsid w:val="006A6977"/>
    <w:rsid w:val="006B3E25"/>
    <w:rsid w:val="006E1CFE"/>
    <w:rsid w:val="00723432"/>
    <w:rsid w:val="00756D5E"/>
    <w:rsid w:val="007E5FD5"/>
    <w:rsid w:val="0084436F"/>
    <w:rsid w:val="008A19B4"/>
    <w:rsid w:val="008A4D29"/>
    <w:rsid w:val="008A5085"/>
    <w:rsid w:val="008B5201"/>
    <w:rsid w:val="008B5B7B"/>
    <w:rsid w:val="008C36DB"/>
    <w:rsid w:val="009306BA"/>
    <w:rsid w:val="00966805"/>
    <w:rsid w:val="00994D0D"/>
    <w:rsid w:val="00A83739"/>
    <w:rsid w:val="00A943B2"/>
    <w:rsid w:val="00A96F11"/>
    <w:rsid w:val="00AD7BF9"/>
    <w:rsid w:val="00AE61B4"/>
    <w:rsid w:val="00B30114"/>
    <w:rsid w:val="00BC3A42"/>
    <w:rsid w:val="00C055A9"/>
    <w:rsid w:val="00C30BEE"/>
    <w:rsid w:val="00CB3A11"/>
    <w:rsid w:val="00D97C5C"/>
    <w:rsid w:val="00DA09F1"/>
    <w:rsid w:val="00E17F01"/>
    <w:rsid w:val="00E411F1"/>
    <w:rsid w:val="00E50800"/>
    <w:rsid w:val="00F24396"/>
    <w:rsid w:val="00F826B6"/>
    <w:rsid w:val="00FB78B2"/>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D0"/>
    <w:rPr>
      <w:rFonts w:ascii="Calibri" w:eastAsia="Calibri" w:hAnsi="Calibri" w:cs="Times New Roman"/>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D0"/>
    <w:pPr>
      <w:ind w:left="720"/>
      <w:contextualSpacing/>
    </w:pPr>
    <w:rPr>
      <w:rFonts w:eastAsia="Times New Roman"/>
      <w:lang w:val="sr-Latn-CS" w:eastAsia="sr-Latn-CS"/>
    </w:rPr>
  </w:style>
  <w:style w:type="paragraph" w:styleId="FootnoteText">
    <w:name w:val="footnote text"/>
    <w:aliases w:val="single space,footnote text,FOOTNOTES,fn,ALTS FOOTNOTE,ADB,ft,Footnote Text Char1,Footnote Text Char Char,Footnote Text Char2 Char,Footnote Text Char1 Char Char,Footnote Text Char2 Char Char Char,Footnote Text Char1 Char Char Char Char, Cha"/>
    <w:basedOn w:val="Normal"/>
    <w:link w:val="FootnoteTextChar"/>
    <w:uiPriority w:val="99"/>
    <w:unhideWhenUsed/>
    <w:rsid w:val="004C00D0"/>
    <w:pPr>
      <w:spacing w:after="0" w:line="240" w:lineRule="auto"/>
    </w:pPr>
    <w:rPr>
      <w:sz w:val="20"/>
      <w:szCs w:val="20"/>
      <w:lang w:val="sr-Latn-BA" w:eastAsia="x-none"/>
    </w:rPr>
  </w:style>
  <w:style w:type="character" w:customStyle="1" w:styleId="FootnoteTextChar">
    <w:name w:val="Footnote Text Char"/>
    <w:aliases w:val="single space Char,footnote text Char,FOOTNOTES Char,fn Char,ALTS FOOTNOTE Char,ADB Char,ft Char,Footnote Text Char1 Char,Footnote Text Char Char Char,Footnote Text Char2 Char Char,Footnote Text Char1 Char Char Char, Cha Char"/>
    <w:basedOn w:val="DefaultParagraphFont"/>
    <w:link w:val="FootnoteText"/>
    <w:uiPriority w:val="99"/>
    <w:rsid w:val="004C00D0"/>
    <w:rPr>
      <w:rFonts w:ascii="Calibri" w:eastAsia="Calibri" w:hAnsi="Calibri" w:cs="Times New Roman"/>
      <w:sz w:val="20"/>
      <w:szCs w:val="20"/>
      <w:lang w:eastAsia="x-none"/>
    </w:rPr>
  </w:style>
  <w:style w:type="character" w:styleId="FootnoteReference">
    <w:name w:val="footnote reference"/>
    <w:aliases w:val="ftref,16 Point,Superscript 6 Point,BVI fnr, BVI fnr Char,BVI fnr Char, BVI fnr Car Car Char,BVI fnr Car Char, BVI fnr Car Car Car Car Char, BVI fnr Car Car Car Car Char Char, BVI fnr Char Char,BVI fnr Char Char,BVI fnr Car Char Char,f"/>
    <w:link w:val="BVIfnrCarCar"/>
    <w:uiPriority w:val="99"/>
    <w:unhideWhenUsed/>
    <w:rsid w:val="004C00D0"/>
    <w:rPr>
      <w:vertAlign w:val="superscript"/>
    </w:rPr>
  </w:style>
  <w:style w:type="character" w:styleId="Hyperlink">
    <w:name w:val="Hyperlink"/>
    <w:uiPriority w:val="99"/>
    <w:unhideWhenUsed/>
    <w:rsid w:val="004C00D0"/>
    <w:rPr>
      <w:color w:val="0000FF"/>
      <w:u w:val="single"/>
    </w:rPr>
  </w:style>
  <w:style w:type="paragraph" w:styleId="NormalWeb">
    <w:name w:val="Normal (Web)"/>
    <w:basedOn w:val="Normal"/>
    <w:uiPriority w:val="99"/>
    <w:unhideWhenUsed/>
    <w:rsid w:val="004C00D0"/>
    <w:rPr>
      <w:rFonts w:ascii="Times New Roman" w:hAnsi="Times New Roman"/>
      <w:sz w:val="24"/>
      <w:szCs w:val="24"/>
    </w:rPr>
  </w:style>
  <w:style w:type="paragraph" w:customStyle="1" w:styleId="BVIfnrCarCar">
    <w:name w:val="BVI fnr Car Car"/>
    <w:aliases w:val="BVI fnr Car, BVI fnr Car Car Car Car, BVI fnr Car Car Car Car Char Char Char, BVI fnr Car Car"/>
    <w:basedOn w:val="Normal"/>
    <w:link w:val="FootnoteReference"/>
    <w:uiPriority w:val="99"/>
    <w:rsid w:val="004C00D0"/>
    <w:pPr>
      <w:spacing w:after="160" w:line="240" w:lineRule="exact"/>
    </w:pPr>
    <w:rPr>
      <w:rFonts w:asciiTheme="minorHAnsi" w:eastAsiaTheme="minorHAnsi" w:hAnsiTheme="minorHAnsi" w:cstheme="minorBidi"/>
      <w:vertAlign w:val="superscript"/>
      <w:lang w:val="sr-Latn-BA"/>
    </w:rPr>
  </w:style>
  <w:style w:type="paragraph" w:styleId="HTMLPreformatted">
    <w:name w:val="HTML Preformatted"/>
    <w:basedOn w:val="Normal"/>
    <w:link w:val="HTMLPreformattedChar"/>
    <w:uiPriority w:val="99"/>
    <w:unhideWhenUsed/>
    <w:rsid w:val="004C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4C00D0"/>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6A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99"/>
    <w:rPr>
      <w:rFonts w:ascii="Calibri" w:eastAsia="Calibri" w:hAnsi="Calibri" w:cs="Times New Roman"/>
      <w:lang w:val="hr-BA"/>
    </w:rPr>
  </w:style>
  <w:style w:type="paragraph" w:styleId="Footer">
    <w:name w:val="footer"/>
    <w:basedOn w:val="Normal"/>
    <w:link w:val="FooterChar"/>
    <w:uiPriority w:val="99"/>
    <w:unhideWhenUsed/>
    <w:rsid w:val="006A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99"/>
    <w:rPr>
      <w:rFonts w:ascii="Calibri" w:eastAsia="Calibri" w:hAnsi="Calibri" w:cs="Times New Roman"/>
      <w:lang w:val="hr-BA"/>
    </w:rPr>
  </w:style>
  <w:style w:type="paragraph" w:styleId="BalloonText">
    <w:name w:val="Balloon Text"/>
    <w:basedOn w:val="Normal"/>
    <w:link w:val="BalloonTextChar"/>
    <w:uiPriority w:val="99"/>
    <w:semiHidden/>
    <w:unhideWhenUsed/>
    <w:rsid w:val="006A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99"/>
    <w:rPr>
      <w:rFonts w:ascii="Tahoma" w:eastAsia="Calibri" w:hAnsi="Tahoma" w:cs="Tahoma"/>
      <w:sz w:val="16"/>
      <w:szCs w:val="16"/>
      <w:lang w:val="hr-BA"/>
    </w:rPr>
  </w:style>
  <w:style w:type="paragraph" w:styleId="EndnoteText">
    <w:name w:val="endnote text"/>
    <w:basedOn w:val="Normal"/>
    <w:link w:val="EndnoteTextChar"/>
    <w:uiPriority w:val="99"/>
    <w:semiHidden/>
    <w:unhideWhenUsed/>
    <w:rsid w:val="006A3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A99"/>
    <w:rPr>
      <w:rFonts w:ascii="Calibri" w:eastAsia="Calibri" w:hAnsi="Calibri" w:cs="Times New Roman"/>
      <w:sz w:val="20"/>
      <w:szCs w:val="20"/>
      <w:lang w:val="hr-BA"/>
    </w:rPr>
  </w:style>
  <w:style w:type="character" w:styleId="EndnoteReference">
    <w:name w:val="endnote reference"/>
    <w:basedOn w:val="DefaultParagraphFont"/>
    <w:uiPriority w:val="99"/>
    <w:semiHidden/>
    <w:unhideWhenUsed/>
    <w:rsid w:val="006A3A99"/>
    <w:rPr>
      <w:vertAlign w:val="superscript"/>
    </w:rPr>
  </w:style>
  <w:style w:type="character" w:customStyle="1" w:styleId="apple-converted-space">
    <w:name w:val="apple-converted-space"/>
    <w:basedOn w:val="DefaultParagraphFont"/>
    <w:rsid w:val="008A4D29"/>
  </w:style>
  <w:style w:type="character" w:styleId="Emphasis">
    <w:name w:val="Emphasis"/>
    <w:uiPriority w:val="20"/>
    <w:qFormat/>
    <w:rsid w:val="008A4D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D0"/>
    <w:rPr>
      <w:rFonts w:ascii="Calibri" w:eastAsia="Calibri" w:hAnsi="Calibri" w:cs="Times New Roman"/>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D0"/>
    <w:pPr>
      <w:ind w:left="720"/>
      <w:contextualSpacing/>
    </w:pPr>
    <w:rPr>
      <w:rFonts w:eastAsia="Times New Roman"/>
      <w:lang w:val="sr-Latn-CS" w:eastAsia="sr-Latn-CS"/>
    </w:rPr>
  </w:style>
  <w:style w:type="paragraph" w:styleId="FootnoteText">
    <w:name w:val="footnote text"/>
    <w:aliases w:val="single space,footnote text,FOOTNOTES,fn,ALTS FOOTNOTE,ADB,ft,Footnote Text Char1,Footnote Text Char Char,Footnote Text Char2 Char,Footnote Text Char1 Char Char,Footnote Text Char2 Char Char Char,Footnote Text Char1 Char Char Char Char, Cha"/>
    <w:basedOn w:val="Normal"/>
    <w:link w:val="FootnoteTextChar"/>
    <w:uiPriority w:val="99"/>
    <w:unhideWhenUsed/>
    <w:rsid w:val="004C00D0"/>
    <w:pPr>
      <w:spacing w:after="0" w:line="240" w:lineRule="auto"/>
    </w:pPr>
    <w:rPr>
      <w:sz w:val="20"/>
      <w:szCs w:val="20"/>
      <w:lang w:val="sr-Latn-BA" w:eastAsia="x-none"/>
    </w:rPr>
  </w:style>
  <w:style w:type="character" w:customStyle="1" w:styleId="FootnoteTextChar">
    <w:name w:val="Footnote Text Char"/>
    <w:aliases w:val="single space Char,footnote text Char,FOOTNOTES Char,fn Char,ALTS FOOTNOTE Char,ADB Char,ft Char,Footnote Text Char1 Char,Footnote Text Char Char Char,Footnote Text Char2 Char Char,Footnote Text Char1 Char Char Char, Cha Char"/>
    <w:basedOn w:val="DefaultParagraphFont"/>
    <w:link w:val="FootnoteText"/>
    <w:uiPriority w:val="99"/>
    <w:rsid w:val="004C00D0"/>
    <w:rPr>
      <w:rFonts w:ascii="Calibri" w:eastAsia="Calibri" w:hAnsi="Calibri" w:cs="Times New Roman"/>
      <w:sz w:val="20"/>
      <w:szCs w:val="20"/>
      <w:lang w:eastAsia="x-none"/>
    </w:rPr>
  </w:style>
  <w:style w:type="character" w:styleId="FootnoteReference">
    <w:name w:val="footnote reference"/>
    <w:aliases w:val="ftref,16 Point,Superscript 6 Point,BVI fnr, BVI fnr Char,BVI fnr Char, BVI fnr Car Car Char,BVI fnr Car Char, BVI fnr Car Car Car Car Char, BVI fnr Car Car Car Car Char Char, BVI fnr Char Char,BVI fnr Char Char,BVI fnr Car Char Char,f"/>
    <w:link w:val="BVIfnrCarCar"/>
    <w:uiPriority w:val="99"/>
    <w:unhideWhenUsed/>
    <w:rsid w:val="004C00D0"/>
    <w:rPr>
      <w:vertAlign w:val="superscript"/>
    </w:rPr>
  </w:style>
  <w:style w:type="character" w:styleId="Hyperlink">
    <w:name w:val="Hyperlink"/>
    <w:uiPriority w:val="99"/>
    <w:unhideWhenUsed/>
    <w:rsid w:val="004C00D0"/>
    <w:rPr>
      <w:color w:val="0000FF"/>
      <w:u w:val="single"/>
    </w:rPr>
  </w:style>
  <w:style w:type="paragraph" w:styleId="NormalWeb">
    <w:name w:val="Normal (Web)"/>
    <w:basedOn w:val="Normal"/>
    <w:uiPriority w:val="99"/>
    <w:unhideWhenUsed/>
    <w:rsid w:val="004C00D0"/>
    <w:rPr>
      <w:rFonts w:ascii="Times New Roman" w:hAnsi="Times New Roman"/>
      <w:sz w:val="24"/>
      <w:szCs w:val="24"/>
    </w:rPr>
  </w:style>
  <w:style w:type="paragraph" w:customStyle="1" w:styleId="BVIfnrCarCar">
    <w:name w:val="BVI fnr Car Car"/>
    <w:aliases w:val="BVI fnr Car, BVI fnr Car Car Car Car, BVI fnr Car Car Car Car Char Char Char, BVI fnr Car Car"/>
    <w:basedOn w:val="Normal"/>
    <w:link w:val="FootnoteReference"/>
    <w:uiPriority w:val="99"/>
    <w:rsid w:val="004C00D0"/>
    <w:pPr>
      <w:spacing w:after="160" w:line="240" w:lineRule="exact"/>
    </w:pPr>
    <w:rPr>
      <w:rFonts w:asciiTheme="minorHAnsi" w:eastAsiaTheme="minorHAnsi" w:hAnsiTheme="minorHAnsi" w:cstheme="minorBidi"/>
      <w:vertAlign w:val="superscript"/>
      <w:lang w:val="sr-Latn-BA"/>
    </w:rPr>
  </w:style>
  <w:style w:type="paragraph" w:styleId="HTMLPreformatted">
    <w:name w:val="HTML Preformatted"/>
    <w:basedOn w:val="Normal"/>
    <w:link w:val="HTMLPreformattedChar"/>
    <w:uiPriority w:val="99"/>
    <w:unhideWhenUsed/>
    <w:rsid w:val="004C0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4C00D0"/>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6A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99"/>
    <w:rPr>
      <w:rFonts w:ascii="Calibri" w:eastAsia="Calibri" w:hAnsi="Calibri" w:cs="Times New Roman"/>
      <w:lang w:val="hr-BA"/>
    </w:rPr>
  </w:style>
  <w:style w:type="paragraph" w:styleId="Footer">
    <w:name w:val="footer"/>
    <w:basedOn w:val="Normal"/>
    <w:link w:val="FooterChar"/>
    <w:uiPriority w:val="99"/>
    <w:unhideWhenUsed/>
    <w:rsid w:val="006A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99"/>
    <w:rPr>
      <w:rFonts w:ascii="Calibri" w:eastAsia="Calibri" w:hAnsi="Calibri" w:cs="Times New Roman"/>
      <w:lang w:val="hr-BA"/>
    </w:rPr>
  </w:style>
  <w:style w:type="paragraph" w:styleId="BalloonText">
    <w:name w:val="Balloon Text"/>
    <w:basedOn w:val="Normal"/>
    <w:link w:val="BalloonTextChar"/>
    <w:uiPriority w:val="99"/>
    <w:semiHidden/>
    <w:unhideWhenUsed/>
    <w:rsid w:val="006A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99"/>
    <w:rPr>
      <w:rFonts w:ascii="Tahoma" w:eastAsia="Calibri" w:hAnsi="Tahoma" w:cs="Tahoma"/>
      <w:sz w:val="16"/>
      <w:szCs w:val="16"/>
      <w:lang w:val="hr-BA"/>
    </w:rPr>
  </w:style>
  <w:style w:type="paragraph" w:styleId="EndnoteText">
    <w:name w:val="endnote text"/>
    <w:basedOn w:val="Normal"/>
    <w:link w:val="EndnoteTextChar"/>
    <w:uiPriority w:val="99"/>
    <w:semiHidden/>
    <w:unhideWhenUsed/>
    <w:rsid w:val="006A3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A99"/>
    <w:rPr>
      <w:rFonts w:ascii="Calibri" w:eastAsia="Calibri" w:hAnsi="Calibri" w:cs="Times New Roman"/>
      <w:sz w:val="20"/>
      <w:szCs w:val="20"/>
      <w:lang w:val="hr-BA"/>
    </w:rPr>
  </w:style>
  <w:style w:type="character" w:styleId="EndnoteReference">
    <w:name w:val="endnote reference"/>
    <w:basedOn w:val="DefaultParagraphFont"/>
    <w:uiPriority w:val="99"/>
    <w:semiHidden/>
    <w:unhideWhenUsed/>
    <w:rsid w:val="006A3A99"/>
    <w:rPr>
      <w:vertAlign w:val="superscript"/>
    </w:rPr>
  </w:style>
  <w:style w:type="character" w:customStyle="1" w:styleId="apple-converted-space">
    <w:name w:val="apple-converted-space"/>
    <w:basedOn w:val="DefaultParagraphFont"/>
    <w:rsid w:val="008A4D29"/>
  </w:style>
  <w:style w:type="character" w:styleId="Emphasis">
    <w:name w:val="Emphasis"/>
    <w:uiPriority w:val="20"/>
    <w:qFormat/>
    <w:rsid w:val="008A4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5244">
      <w:bodyDiv w:val="1"/>
      <w:marLeft w:val="0"/>
      <w:marRight w:val="0"/>
      <w:marTop w:val="0"/>
      <w:marBottom w:val="0"/>
      <w:divBdr>
        <w:top w:val="none" w:sz="0" w:space="0" w:color="auto"/>
        <w:left w:val="none" w:sz="0" w:space="0" w:color="auto"/>
        <w:bottom w:val="none" w:sz="0" w:space="0" w:color="auto"/>
        <w:right w:val="none" w:sz="0" w:space="0" w:color="auto"/>
      </w:divBdr>
    </w:div>
    <w:div w:id="350113070">
      <w:bodyDiv w:val="1"/>
      <w:marLeft w:val="0"/>
      <w:marRight w:val="0"/>
      <w:marTop w:val="0"/>
      <w:marBottom w:val="0"/>
      <w:divBdr>
        <w:top w:val="none" w:sz="0" w:space="0" w:color="auto"/>
        <w:left w:val="none" w:sz="0" w:space="0" w:color="auto"/>
        <w:bottom w:val="none" w:sz="0" w:space="0" w:color="auto"/>
        <w:right w:val="none" w:sz="0" w:space="0" w:color="auto"/>
      </w:divBdr>
    </w:div>
    <w:div w:id="588659550">
      <w:bodyDiv w:val="1"/>
      <w:marLeft w:val="0"/>
      <w:marRight w:val="0"/>
      <w:marTop w:val="0"/>
      <w:marBottom w:val="0"/>
      <w:divBdr>
        <w:top w:val="none" w:sz="0" w:space="0" w:color="auto"/>
        <w:left w:val="none" w:sz="0" w:space="0" w:color="auto"/>
        <w:bottom w:val="none" w:sz="0" w:space="0" w:color="auto"/>
        <w:right w:val="none" w:sz="0" w:space="0" w:color="auto"/>
      </w:divBdr>
    </w:div>
    <w:div w:id="663512233">
      <w:bodyDiv w:val="1"/>
      <w:marLeft w:val="0"/>
      <w:marRight w:val="0"/>
      <w:marTop w:val="0"/>
      <w:marBottom w:val="0"/>
      <w:divBdr>
        <w:top w:val="none" w:sz="0" w:space="0" w:color="auto"/>
        <w:left w:val="none" w:sz="0" w:space="0" w:color="auto"/>
        <w:bottom w:val="none" w:sz="0" w:space="0" w:color="auto"/>
        <w:right w:val="none" w:sz="0" w:space="0" w:color="auto"/>
      </w:divBdr>
    </w:div>
    <w:div w:id="856311086">
      <w:bodyDiv w:val="1"/>
      <w:marLeft w:val="0"/>
      <w:marRight w:val="0"/>
      <w:marTop w:val="0"/>
      <w:marBottom w:val="0"/>
      <w:divBdr>
        <w:top w:val="none" w:sz="0" w:space="0" w:color="auto"/>
        <w:left w:val="none" w:sz="0" w:space="0" w:color="auto"/>
        <w:bottom w:val="none" w:sz="0" w:space="0" w:color="auto"/>
        <w:right w:val="none" w:sz="0" w:space="0" w:color="auto"/>
      </w:divBdr>
    </w:div>
    <w:div w:id="979112458">
      <w:bodyDiv w:val="1"/>
      <w:marLeft w:val="0"/>
      <w:marRight w:val="0"/>
      <w:marTop w:val="0"/>
      <w:marBottom w:val="0"/>
      <w:divBdr>
        <w:top w:val="none" w:sz="0" w:space="0" w:color="auto"/>
        <w:left w:val="none" w:sz="0" w:space="0" w:color="auto"/>
        <w:bottom w:val="none" w:sz="0" w:space="0" w:color="auto"/>
        <w:right w:val="none" w:sz="0" w:space="0" w:color="auto"/>
      </w:divBdr>
    </w:div>
    <w:div w:id="1011876419">
      <w:bodyDiv w:val="1"/>
      <w:marLeft w:val="0"/>
      <w:marRight w:val="0"/>
      <w:marTop w:val="0"/>
      <w:marBottom w:val="0"/>
      <w:divBdr>
        <w:top w:val="none" w:sz="0" w:space="0" w:color="auto"/>
        <w:left w:val="none" w:sz="0" w:space="0" w:color="auto"/>
        <w:bottom w:val="none" w:sz="0" w:space="0" w:color="auto"/>
        <w:right w:val="none" w:sz="0" w:space="0" w:color="auto"/>
      </w:divBdr>
    </w:div>
    <w:div w:id="1785612822">
      <w:bodyDiv w:val="1"/>
      <w:marLeft w:val="0"/>
      <w:marRight w:val="0"/>
      <w:marTop w:val="0"/>
      <w:marBottom w:val="0"/>
      <w:divBdr>
        <w:top w:val="none" w:sz="0" w:space="0" w:color="auto"/>
        <w:left w:val="none" w:sz="0" w:space="0" w:color="auto"/>
        <w:bottom w:val="none" w:sz="0" w:space="0" w:color="auto"/>
        <w:right w:val="none" w:sz="0" w:space="0" w:color="auto"/>
      </w:divBdr>
    </w:div>
    <w:div w:id="1887402296">
      <w:bodyDiv w:val="1"/>
      <w:marLeft w:val="0"/>
      <w:marRight w:val="0"/>
      <w:marTop w:val="0"/>
      <w:marBottom w:val="0"/>
      <w:divBdr>
        <w:top w:val="none" w:sz="0" w:space="0" w:color="auto"/>
        <w:left w:val="none" w:sz="0" w:space="0" w:color="auto"/>
        <w:bottom w:val="none" w:sz="0" w:space="0" w:color="auto"/>
        <w:right w:val="none" w:sz="0" w:space="0" w:color="auto"/>
      </w:divBdr>
    </w:div>
    <w:div w:id="1942377640">
      <w:bodyDiv w:val="1"/>
      <w:marLeft w:val="0"/>
      <w:marRight w:val="0"/>
      <w:marTop w:val="0"/>
      <w:marBottom w:val="0"/>
      <w:divBdr>
        <w:top w:val="none" w:sz="0" w:space="0" w:color="auto"/>
        <w:left w:val="none" w:sz="0" w:space="0" w:color="auto"/>
        <w:bottom w:val="none" w:sz="0" w:space="0" w:color="auto"/>
        <w:right w:val="none" w:sz="0" w:space="0" w:color="auto"/>
      </w:divBdr>
    </w:div>
    <w:div w:id="1996453418">
      <w:bodyDiv w:val="1"/>
      <w:marLeft w:val="0"/>
      <w:marRight w:val="0"/>
      <w:marTop w:val="0"/>
      <w:marBottom w:val="0"/>
      <w:divBdr>
        <w:top w:val="none" w:sz="0" w:space="0" w:color="auto"/>
        <w:left w:val="none" w:sz="0" w:space="0" w:color="auto"/>
        <w:bottom w:val="none" w:sz="0" w:space="0" w:color="auto"/>
        <w:right w:val="none" w:sz="0" w:space="0" w:color="auto"/>
      </w:divBdr>
    </w:div>
    <w:div w:id="20760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5FDE-6C42-49B9-A900-7BE38808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2017-02-13T10:44:00Z</dcterms:created>
  <dcterms:modified xsi:type="dcterms:W3CDTF">2017-02-13T10:44:00Z</dcterms:modified>
</cp:coreProperties>
</file>