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0" w:rsidRPr="004C00D0" w:rsidRDefault="004C00D0" w:rsidP="004C00D0">
      <w:pPr>
        <w:jc w:val="center"/>
        <w:rPr>
          <w:b/>
          <w:color w:val="000000" w:themeColor="text1"/>
          <w:sz w:val="24"/>
          <w:szCs w:val="24"/>
        </w:rPr>
      </w:pPr>
      <w:bookmarkStart w:id="0" w:name="_GoBack"/>
      <w:bookmarkEnd w:id="0"/>
      <w:r w:rsidRPr="004C00D0">
        <w:rPr>
          <w:b/>
          <w:color w:val="000000" w:themeColor="text1"/>
          <w:sz w:val="24"/>
          <w:szCs w:val="24"/>
        </w:rPr>
        <w:t>ALTERNATIVNI CEDAW IZVJEŠTAJ:</w:t>
      </w:r>
    </w:p>
    <w:p w:rsidR="004C00D0" w:rsidRPr="004C00D0" w:rsidRDefault="004C00D0" w:rsidP="004C00D0">
      <w:pPr>
        <w:pStyle w:val="ListParagraph"/>
        <w:jc w:val="center"/>
        <w:rPr>
          <w:b/>
          <w:color w:val="000000" w:themeColor="text1"/>
          <w:sz w:val="24"/>
          <w:szCs w:val="24"/>
          <w:lang w:val="hr-BA"/>
        </w:rPr>
      </w:pPr>
      <w:r w:rsidRPr="004C00D0">
        <w:rPr>
          <w:b/>
          <w:color w:val="000000" w:themeColor="text1"/>
          <w:sz w:val="24"/>
          <w:szCs w:val="24"/>
          <w:lang w:val="hr-BA"/>
        </w:rPr>
        <w:t>IZVJEŠTAJ ORGANIZACIJA</w:t>
      </w:r>
      <w:r w:rsidR="00317EAA">
        <w:rPr>
          <w:b/>
          <w:color w:val="000000" w:themeColor="text1"/>
          <w:sz w:val="24"/>
          <w:szCs w:val="24"/>
          <w:lang w:val="hr-BA"/>
        </w:rPr>
        <w:t xml:space="preserve"> CIVILNOG DRU</w:t>
      </w:r>
      <w:r w:rsidR="00317EAA">
        <w:rPr>
          <w:b/>
          <w:color w:val="000000" w:themeColor="text1"/>
          <w:sz w:val="24"/>
          <w:szCs w:val="24"/>
          <w:lang w:val="sr-Latn-BA"/>
        </w:rPr>
        <w:t>ŠTVA</w:t>
      </w:r>
      <w:r w:rsidRPr="004C00D0">
        <w:rPr>
          <w:b/>
          <w:color w:val="000000" w:themeColor="text1"/>
          <w:sz w:val="24"/>
          <w:szCs w:val="24"/>
          <w:lang w:val="hr-BA"/>
        </w:rPr>
        <w:t xml:space="preserve"> O PRIMJENI ZAKLJUČNIH ZAPAŽANJA I PREPORUKA CEDAW KOMITETA ZA BOSNU I HERCEGOVINU</w:t>
      </w:r>
    </w:p>
    <w:p w:rsidR="004C00D0" w:rsidRPr="004C00D0" w:rsidRDefault="00966805" w:rsidP="004C00D0">
      <w:pPr>
        <w:jc w:val="center"/>
        <w:rPr>
          <w:b/>
          <w:color w:val="000000" w:themeColor="text1"/>
          <w:sz w:val="24"/>
          <w:szCs w:val="24"/>
        </w:rPr>
      </w:pPr>
      <w:r>
        <w:rPr>
          <w:b/>
          <w:color w:val="000000" w:themeColor="text1"/>
          <w:sz w:val="24"/>
          <w:szCs w:val="24"/>
        </w:rPr>
        <w:t>2013 - 2017</w:t>
      </w:r>
    </w:p>
    <w:p w:rsidR="00E411F1" w:rsidRDefault="00C140DD" w:rsidP="0028252A">
      <w:pPr>
        <w:jc w:val="center"/>
        <w:rPr>
          <w:rFonts w:asciiTheme="minorHAnsi" w:eastAsiaTheme="minorHAnsi" w:hAnsiTheme="minorHAnsi" w:cs="Raleway"/>
          <w:b/>
          <w:color w:val="000000" w:themeColor="text1"/>
          <w:sz w:val="36"/>
          <w:szCs w:val="36"/>
          <w:lang w:val="sr-Latn-BA"/>
        </w:rPr>
      </w:pPr>
      <w:r w:rsidRPr="00C140DD">
        <w:rPr>
          <w:rFonts w:asciiTheme="minorHAnsi" w:eastAsiaTheme="minorHAnsi" w:hAnsiTheme="minorHAnsi" w:cs="Raleway"/>
          <w:b/>
          <w:color w:val="000000" w:themeColor="text1"/>
          <w:sz w:val="36"/>
          <w:szCs w:val="36"/>
          <w:lang w:val="sr-Latn-BA"/>
        </w:rPr>
        <w:t>Trgovina ljudima i iskorištavanje u svrhu prostitucije</w:t>
      </w:r>
    </w:p>
    <w:p w:rsidR="004C00D0" w:rsidRPr="008854CD" w:rsidRDefault="004F6A67" w:rsidP="004C00D0">
      <w:r>
        <w:t>Pripremil</w:t>
      </w:r>
      <w:r w:rsidR="00124515">
        <w:t>a</w:t>
      </w:r>
      <w:r w:rsidR="004C00D0" w:rsidRPr="008854CD">
        <w:t xml:space="preserve">: </w:t>
      </w:r>
      <w:r w:rsidR="00C140DD">
        <w:t>Radmila Žigić</w:t>
      </w:r>
    </w:p>
    <w:p w:rsidR="004C00D0" w:rsidRPr="004C00D0" w:rsidRDefault="004C00D0"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Raleway"/>
          <w:color w:val="000000" w:themeColor="text1"/>
          <w:lang w:val="sr-Latn-BA"/>
        </w:rPr>
      </w:pPr>
    </w:p>
    <w:p w:rsidR="00E411F1" w:rsidRPr="00E411F1" w:rsidRDefault="00E411F1"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sidRPr="00E411F1">
        <w:rPr>
          <w:rFonts w:asciiTheme="minorHAnsi" w:eastAsiaTheme="minorHAnsi" w:hAnsiTheme="minorHAnsi" w:cs="Georgia-Bold"/>
          <w:b/>
          <w:bCs/>
          <w:sz w:val="20"/>
          <w:szCs w:val="20"/>
        </w:rPr>
        <w:t>Zak</w:t>
      </w:r>
      <w:r w:rsidR="005F4A56">
        <w:rPr>
          <w:rFonts w:asciiTheme="minorHAnsi" w:eastAsiaTheme="minorHAnsi" w:hAnsiTheme="minorHAnsi" w:cs="Georgia-Bold"/>
          <w:b/>
          <w:bCs/>
          <w:sz w:val="20"/>
          <w:szCs w:val="20"/>
        </w:rPr>
        <w:t xml:space="preserve">ljučni komentar </w:t>
      </w:r>
      <w:r w:rsidR="00C140DD">
        <w:rPr>
          <w:rFonts w:asciiTheme="minorHAnsi" w:eastAsiaTheme="minorHAnsi" w:hAnsiTheme="minorHAnsi" w:cs="Georgia-Bold"/>
          <w:b/>
          <w:bCs/>
          <w:sz w:val="20"/>
          <w:szCs w:val="20"/>
        </w:rPr>
        <w:t>br</w:t>
      </w:r>
      <w:r w:rsidR="00D53988">
        <w:rPr>
          <w:rFonts w:asciiTheme="minorHAnsi" w:eastAsiaTheme="minorHAnsi" w:hAnsiTheme="minorHAnsi" w:cs="Georgia-Bold"/>
          <w:b/>
          <w:bCs/>
          <w:sz w:val="20"/>
          <w:szCs w:val="20"/>
        </w:rPr>
        <w:t>oj</w:t>
      </w:r>
      <w:r w:rsidR="00C140DD">
        <w:rPr>
          <w:rFonts w:asciiTheme="minorHAnsi" w:eastAsiaTheme="minorHAnsi" w:hAnsiTheme="minorHAnsi" w:cs="Georgia-Bold"/>
          <w:b/>
          <w:bCs/>
          <w:sz w:val="20"/>
          <w:szCs w:val="20"/>
        </w:rPr>
        <w:t xml:space="preserve"> 23</w:t>
      </w:r>
      <w:r w:rsidRPr="00E411F1">
        <w:rPr>
          <w:rFonts w:asciiTheme="minorHAnsi" w:eastAsiaTheme="minorHAnsi" w:hAnsiTheme="minorHAnsi" w:cs="Georgia-Bold"/>
          <w:b/>
          <w:bCs/>
          <w:sz w:val="20"/>
          <w:szCs w:val="20"/>
        </w:rPr>
        <w:t xml:space="preserve">: </w:t>
      </w:r>
    </w:p>
    <w:p w:rsidR="00FB78B2" w:rsidRPr="00FB78B2" w:rsidRDefault="00FB78B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lang w:val="sr-Latn-BA"/>
        </w:rPr>
      </w:pPr>
    </w:p>
    <w:p w:rsidR="00486D82"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D53988">
        <w:rPr>
          <w:rFonts w:asciiTheme="minorHAnsi" w:eastAsia="Georgia-Italic" w:hAnsiTheme="minorHAnsi" w:cs="Georgia-Italic"/>
          <w:i/>
          <w:iCs/>
          <w:sz w:val="20"/>
          <w:szCs w:val="20"/>
        </w:rPr>
        <w:t>Iako zapaža novi zakonski okvir na nivou države, Komitet i dalјe izražava zabrinutost zbog malog broja procesuiranja, neopravdanih kašnjenja u postupcima i blagosti osuda, uprkos rastućem trendu interne i međunarodne trgovine ludima u zemlji članici. Naročito izražava zabrinutost što krivični zakoni entiteta i BD BiH nisu usklađeni sa Krivičnim zakonom BiH i stoga ne dopuštaju adekvatno procesuiranje na nivou entiteta i distrikta sa odgovarajućim kaznama o osudama djela trgovine ludima, naročito interne trgovine. Nadalje, iako zapaža usvajanje propisa za zaštitu žrtava i svjedoka i razvoj nove Strategije za borbu protiv trgovine ludima, Komitet izražava zabrinutost zbog pomanjkanja djelotvornih procedura identifikacije žrtava, naročito kada se radi o ženama i djevojčicama iz romskih zajednica i interno raseljenim ženama koje su sve više pogođene, te što obezbjeđenje odgovarajućih usluga žrtvama trgovine ludima, kao što su skloništa, većinom vode nevladine organizacije koje se oslanjaju na vanjsko finansiranje.</w:t>
      </w:r>
    </w:p>
    <w:p w:rsidR="00D53988" w:rsidRPr="00FB78B2"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lang w:val="sr-Latn-BA"/>
        </w:rPr>
      </w:pPr>
    </w:p>
    <w:p w:rsidR="00E411F1" w:rsidRPr="00E411F1"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sidRPr="00D53988">
        <w:rPr>
          <w:rFonts w:asciiTheme="minorHAnsi" w:eastAsiaTheme="minorHAnsi" w:hAnsiTheme="minorHAnsi" w:cs="Georgia-Bold"/>
          <w:b/>
          <w:bCs/>
          <w:sz w:val="20"/>
          <w:szCs w:val="20"/>
        </w:rPr>
        <w:t xml:space="preserve">Zaključna </w:t>
      </w:r>
      <w:r>
        <w:rPr>
          <w:rFonts w:asciiTheme="minorHAnsi" w:eastAsiaTheme="minorHAnsi" w:hAnsiTheme="minorHAnsi" w:cs="Georgia-Bold"/>
          <w:b/>
          <w:bCs/>
          <w:sz w:val="20"/>
          <w:szCs w:val="20"/>
        </w:rPr>
        <w:t>p</w:t>
      </w:r>
      <w:r w:rsidR="00486D82">
        <w:rPr>
          <w:rFonts w:asciiTheme="minorHAnsi" w:eastAsiaTheme="minorHAnsi" w:hAnsiTheme="minorHAnsi" w:cs="Georgia-Bold"/>
          <w:b/>
          <w:bCs/>
          <w:sz w:val="20"/>
          <w:szCs w:val="20"/>
        </w:rPr>
        <w:t xml:space="preserve">reporuka </w:t>
      </w:r>
      <w:r>
        <w:rPr>
          <w:rFonts w:asciiTheme="minorHAnsi" w:eastAsiaTheme="minorHAnsi" w:hAnsiTheme="minorHAnsi" w:cs="Georgia-Bold"/>
          <w:b/>
          <w:bCs/>
          <w:sz w:val="20"/>
          <w:szCs w:val="20"/>
        </w:rPr>
        <w:t>broj</w:t>
      </w:r>
      <w:r w:rsidR="00486D82">
        <w:rPr>
          <w:rFonts w:asciiTheme="minorHAnsi" w:eastAsiaTheme="minorHAnsi" w:hAnsiTheme="minorHAnsi" w:cs="Georgia-Bold"/>
          <w:b/>
          <w:bCs/>
          <w:sz w:val="20"/>
          <w:szCs w:val="20"/>
        </w:rPr>
        <w:t xml:space="preserve"> 2</w:t>
      </w:r>
      <w:r>
        <w:rPr>
          <w:rFonts w:asciiTheme="minorHAnsi" w:eastAsiaTheme="minorHAnsi" w:hAnsiTheme="minorHAnsi" w:cs="Georgia-Bold"/>
          <w:b/>
          <w:bCs/>
          <w:sz w:val="20"/>
          <w:szCs w:val="20"/>
        </w:rPr>
        <w:t>4</w:t>
      </w:r>
      <w:r w:rsidR="00E411F1" w:rsidRPr="00E411F1">
        <w:rPr>
          <w:rFonts w:asciiTheme="minorHAnsi" w:eastAsiaTheme="minorHAnsi" w:hAnsiTheme="minorHAnsi" w:cs="Georgia-Bold"/>
          <w:b/>
          <w:bCs/>
          <w:sz w:val="20"/>
          <w:szCs w:val="20"/>
        </w:rPr>
        <w:t xml:space="preserve">:  </w:t>
      </w:r>
    </w:p>
    <w:p w:rsidR="00FB78B2" w:rsidRPr="00FB78B2" w:rsidRDefault="00FB78B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lang w:val="sr-Latn-BA"/>
        </w:rPr>
      </w:pP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D53988">
        <w:rPr>
          <w:rFonts w:asciiTheme="minorHAnsi" w:eastAsia="Georgia-Italic" w:hAnsiTheme="minorHAnsi" w:cs="Georgia-Italic"/>
          <w:i/>
          <w:iCs/>
          <w:sz w:val="20"/>
          <w:szCs w:val="20"/>
        </w:rPr>
        <w:t>Komitet preporučuje da zemlja članica: (a) izmijeni krivične zakone oba entiteta i BD BiH radi usklađivanja sa odgovarajućim odredbama Krivičnog zakona BiH, kako bi se osiguralo da se djela trgovine ludima adekvatno procesuiraju; (b) osigura djelotvornu primjenu novog zakonskog okvira i blagovremeno procesuiranje i kažnjavanje trgovaca ludima, kao i reviziju kaznene politike u slučajevima trgovine ludima; (c) osigura obaveznu i rodno osjetljivu obuku za sudije, tužioce, policijske službenike i druge službenike za provedbu zakona o primjeni zakonskih odredbi, uključujući propise o zaštiti žrtava trgovine ludima; (d) ojača mehanizme koji imaju za cilj ranu identifikaciju i upućivanje žrtava trgovine ludima, sa posebnim osvrtom na Romkinje i interno raseljene žene, kao i preventivne mjere kao što je podizanje svijesti o rizicima trgovine ljudskim bićima za ugrožene grupe žena; i (e) osigura odgovarajuće finansiranje za aktivnosti protiv trgovine ludima koje preduzimaju nevladine organizacije.</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D53988" w:rsidRP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sidRPr="00D53988">
        <w:rPr>
          <w:rFonts w:asciiTheme="minorHAnsi" w:eastAsiaTheme="minorHAnsi" w:hAnsiTheme="minorHAnsi" w:cs="Georgia-Bold"/>
          <w:b/>
          <w:bCs/>
          <w:sz w:val="20"/>
          <w:szCs w:val="20"/>
        </w:rPr>
        <w:t>Zaključni komentar broj 25:</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D53988">
        <w:rPr>
          <w:rFonts w:asciiTheme="minorHAnsi" w:eastAsia="Georgia-Italic" w:hAnsiTheme="minorHAnsi" w:cs="Georgia-Italic"/>
          <w:i/>
          <w:iCs/>
          <w:sz w:val="20"/>
          <w:szCs w:val="20"/>
        </w:rPr>
        <w:t>Komitet izražava zabrinutost zbog činjenice da je zemlja članica i dalje zemlja porijekla, odredišta i tranzita za trgovinu ljudima, posebno ženama i djevojčicama u svrhu seksualne eksploatacije. Komitet je takođe zabrinut zbog toga što se prostitucija kažnjava kao prekršaj, zbog nedostatka istraživanja i podataka o rasprostranjenosti iskorištavanja prostitucije u zemlji članici i pomanjkanja politika i programa usmjerenih na ovaj fenomen.</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D53988" w:rsidRP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sidRPr="00D53988">
        <w:rPr>
          <w:rFonts w:asciiTheme="minorHAnsi" w:eastAsiaTheme="minorHAnsi" w:hAnsiTheme="minorHAnsi" w:cs="Georgia-Bold"/>
          <w:b/>
          <w:bCs/>
          <w:sz w:val="20"/>
          <w:szCs w:val="20"/>
        </w:rPr>
        <w:t xml:space="preserve">Zaključna preporuka broj 26:  </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D53988">
        <w:rPr>
          <w:rFonts w:asciiTheme="minorHAnsi" w:eastAsia="Georgia-Italic" w:hAnsiTheme="minorHAnsi" w:cs="Georgia-Italic"/>
          <w:i/>
          <w:iCs/>
          <w:sz w:val="20"/>
          <w:szCs w:val="20"/>
        </w:rPr>
        <w:t>Komitet poziva zemlju članicu da: (a) izmijeni Krivični zakon kako bi osigurala da žene žrtve prostitucije ne budu više kriminalizovane, osigurala istragu, procesuiranje i kažnjavanje onih koji iskorištavaju prostituciju i preduzme mjere da spriječi potražnju za prostitucijom; (b) slijedi sveobuhvatni pristup u rješavanju eksploatacije prostitucije, uključujući razvojne strategija kojima će podržati i obezbijediti rehabilitaciju za žene koje žele da napuste prostituciju, i da obezbijedi u narednom periodičnom izvještaju iscrpne informacije i podatke o rasprostranjenosti iskorištavanja prostitucije.</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D53988">
        <w:rPr>
          <w:rFonts w:asciiTheme="minorHAnsi" w:eastAsia="Georgia-Italic" w:hAnsiTheme="minorHAnsi" w:cs="Georgia-Italic"/>
          <w:i/>
          <w:iCs/>
          <w:sz w:val="20"/>
          <w:szCs w:val="20"/>
        </w:rPr>
        <w:lastRenderedPageBreak/>
        <w:t xml:space="preserve">U </w:t>
      </w:r>
      <w:r w:rsidRPr="000470AC">
        <w:rPr>
          <w:rFonts w:asciiTheme="minorHAnsi" w:eastAsia="Georgia-Italic" w:hAnsiTheme="minorHAnsi" w:cs="Georgia-Italic"/>
          <w:b/>
          <w:i/>
          <w:iCs/>
          <w:sz w:val="20"/>
          <w:szCs w:val="20"/>
        </w:rPr>
        <w:t>Općoj preporuci 19</w:t>
      </w:r>
      <w:r w:rsidRPr="00D53988">
        <w:rPr>
          <w:rFonts w:asciiTheme="minorHAnsi" w:eastAsia="Georgia-Italic" w:hAnsiTheme="minorHAnsi" w:cs="Georgia-Italic"/>
          <w:i/>
          <w:iCs/>
          <w:sz w:val="20"/>
          <w:szCs w:val="20"/>
        </w:rPr>
        <w:t>, CEDAW skreće pažnju na činjenicu da pored uspostavljenih oblika trgovine postoje novi oblici seksualne eksploatacije, uključujući seksualni turizam, upošljavanje domaćih snaga iz zemalja u razvoju da rade u razvijenim zemljama i organizovane brakove između žena iz zemalja u razvoju i stranaca. Član 6. zahtijeva od država da se suprotstave ovim praksama, kao i uspostavljenim oblicima eksploatacije.</w:t>
      </w:r>
    </w:p>
    <w:p w:rsidR="00D53988" w:rsidRDefault="00D53988"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486D82" w:rsidRDefault="00486D82"/>
    <w:p w:rsidR="00E411F1" w:rsidRDefault="00AD7BF9" w:rsidP="00E411F1">
      <w:pPr>
        <w:rPr>
          <w:b/>
          <w:sz w:val="24"/>
          <w:szCs w:val="24"/>
        </w:rPr>
      </w:pPr>
      <w:r>
        <w:rPr>
          <w:b/>
          <w:sz w:val="24"/>
          <w:szCs w:val="24"/>
        </w:rPr>
        <w:t>UVOD</w:t>
      </w:r>
    </w:p>
    <w:p w:rsidR="00D53988" w:rsidRDefault="00D53988" w:rsidP="00D53988">
      <w:pPr>
        <w:autoSpaceDE w:val="0"/>
        <w:autoSpaceDN w:val="0"/>
        <w:adjustRightInd w:val="0"/>
        <w:spacing w:after="0" w:line="240" w:lineRule="auto"/>
        <w:jc w:val="both"/>
        <w:rPr>
          <w:sz w:val="24"/>
          <w:szCs w:val="24"/>
        </w:rPr>
      </w:pPr>
      <w:r w:rsidRPr="00D53988">
        <w:rPr>
          <w:sz w:val="24"/>
          <w:szCs w:val="24"/>
        </w:rPr>
        <w:t>Trgovina ljudima, a posebno ženama u svrhu seksualne eksploatacije, postala je ozbiljan problem u BiH  po završetku rata. Unapređenjem zakonskog okvira, uspostavljanjem Državnog koordinacionog tijela i državnog referalnog mehanizma za borbu protiv trgovine ljudima, značajno je suzbijen ovaj drastični oblik kršenja ljudskih prava koji je najviše pogađao žene. Međutim, teška ekonomska situacija, velika nezaposlenost i siromaštvo povećali su rizik od trgovine ljudima unutar zemlje. Povećano je iskorištavanje žena, državljanki BiH,  u prostituciji i radnoj eksploataciji kao i trgovina djecom. Veliki rizik predstavljaju i migracije, posebno mladih žena i muškaraca, koji odlaze van BiH u potrazi za poslom.  I pored ovih rizika, zadnjih godina, sprečavanje i prevencija trgovine ljudima sve je manje prioritet u djelovanju vladinih službi. Posebno zabrinjava to što: 1. sudovi izriču  niske  kazne trgovcima ljudima; 2. mehanizmi za identifikaciju žrtava i potencijalnih žrtava nisu razvijeni u skladu sa potrebama; 3. preživjeli ne dobijaju  adekvatnu pomoć i obeštećenje za patnju kojoj su bili izložen;  i 4. nema koordinisanih politika prevencije i pomoći grupama u riziku kako bi se smanjil</w:t>
      </w:r>
      <w:r w:rsidR="000470AC">
        <w:rPr>
          <w:sz w:val="24"/>
          <w:szCs w:val="24"/>
        </w:rPr>
        <w:t>a opasnost od trgovine ljudima.</w:t>
      </w:r>
    </w:p>
    <w:p w:rsidR="000470AC" w:rsidRPr="00D53988" w:rsidRDefault="000470AC" w:rsidP="00D53988">
      <w:pPr>
        <w:autoSpaceDE w:val="0"/>
        <w:autoSpaceDN w:val="0"/>
        <w:adjustRightInd w:val="0"/>
        <w:spacing w:after="0" w:line="240" w:lineRule="auto"/>
        <w:jc w:val="both"/>
        <w:rPr>
          <w:sz w:val="24"/>
          <w:szCs w:val="24"/>
        </w:rPr>
      </w:pPr>
    </w:p>
    <w:p w:rsidR="00D53988" w:rsidRPr="00D53988" w:rsidRDefault="00D53988" w:rsidP="00D53988">
      <w:pPr>
        <w:autoSpaceDE w:val="0"/>
        <w:autoSpaceDN w:val="0"/>
        <w:adjustRightInd w:val="0"/>
        <w:spacing w:after="0" w:line="240" w:lineRule="auto"/>
        <w:jc w:val="both"/>
        <w:rPr>
          <w:sz w:val="24"/>
          <w:szCs w:val="24"/>
        </w:rPr>
      </w:pPr>
      <w:r w:rsidRPr="00D53988">
        <w:rPr>
          <w:sz w:val="24"/>
          <w:szCs w:val="24"/>
        </w:rPr>
        <w:t xml:space="preserve">Aktivnosti državnih struktura ni izbliza nisu dovoljne da BiH prestane da bude zemlja porijekla, tranzita i odredišta za trgovinu ljudima. </w:t>
      </w:r>
    </w:p>
    <w:p w:rsidR="00D53988" w:rsidRPr="00D53988" w:rsidRDefault="00D53988" w:rsidP="00D53988">
      <w:pPr>
        <w:autoSpaceDE w:val="0"/>
        <w:autoSpaceDN w:val="0"/>
        <w:adjustRightInd w:val="0"/>
        <w:spacing w:after="0" w:line="240" w:lineRule="auto"/>
        <w:jc w:val="both"/>
        <w:rPr>
          <w:sz w:val="24"/>
          <w:szCs w:val="24"/>
        </w:rPr>
      </w:pPr>
    </w:p>
    <w:p w:rsidR="00D53988" w:rsidRPr="000470AC" w:rsidRDefault="000470AC" w:rsidP="00D53988">
      <w:pPr>
        <w:autoSpaceDE w:val="0"/>
        <w:autoSpaceDN w:val="0"/>
        <w:adjustRightInd w:val="0"/>
        <w:spacing w:after="0" w:line="240" w:lineRule="auto"/>
        <w:jc w:val="both"/>
        <w:rPr>
          <w:b/>
          <w:sz w:val="24"/>
          <w:szCs w:val="24"/>
        </w:rPr>
      </w:pPr>
      <w:r w:rsidRPr="000470AC">
        <w:rPr>
          <w:b/>
          <w:sz w:val="24"/>
          <w:szCs w:val="24"/>
        </w:rPr>
        <w:t>PROVOĐENJE PREPORUKA I AKTUELNI PRIORITETI DJELOVANJA</w:t>
      </w:r>
    </w:p>
    <w:p w:rsidR="00D53988" w:rsidRPr="00D53988" w:rsidRDefault="00D53988"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 xml:space="preserve">Umjesto harmonizacije zakonskog okvira, u BiH je u izvještajnom periodu </w:t>
      </w:r>
      <w:r w:rsidRPr="000470AC">
        <w:rPr>
          <w:b/>
          <w:sz w:val="24"/>
          <w:szCs w:val="24"/>
        </w:rPr>
        <w:t>došlo do promjene nadležnosti u vođenju istraga i krivičnom procesuiranju trgovine ljudima</w:t>
      </w:r>
      <w:r w:rsidRPr="00D53988">
        <w:rPr>
          <w:sz w:val="24"/>
          <w:szCs w:val="24"/>
        </w:rPr>
        <w:t xml:space="preserve">. Suzbijanje trgovine ljudima unutar zemlje u potpunosti je prenesena na niže nivoe policijskih agencija i pravosudnih institucija (entitetsku i kantonalnu policiju i entitetska tužilaštva i sudove) što se može smatrati društvenom marginalizacijom ove kriminalne djelatnosti i teškog kršenja ljudskih prava. Izmijene krivičnih zakona u entitetima i BD BiH započele su 2013. godine i djelimično su zakoni usklađeni s odgovarajućim odredbama Krivičnog zakona BiH, kako bi se osiguralo da se djela trgovine ludima adekvatno procesuiraju u svim dijelovima zemlje. Zakoni </w:t>
      </w:r>
      <w:r w:rsidR="000470AC">
        <w:rPr>
          <w:sz w:val="24"/>
          <w:szCs w:val="24"/>
        </w:rPr>
        <w:t>su promijenjeni u RS</w:t>
      </w:r>
      <w:r w:rsidR="000470AC">
        <w:rPr>
          <w:rStyle w:val="FootnoteReference"/>
          <w:sz w:val="24"/>
          <w:szCs w:val="24"/>
        </w:rPr>
        <w:footnoteReference w:id="1"/>
      </w:r>
      <w:r w:rsidR="000470AC">
        <w:rPr>
          <w:sz w:val="24"/>
          <w:szCs w:val="24"/>
        </w:rPr>
        <w:t xml:space="preserve"> i BD BiH,</w:t>
      </w:r>
      <w:r w:rsidR="000470AC">
        <w:rPr>
          <w:rStyle w:val="FootnoteReference"/>
          <w:sz w:val="24"/>
          <w:szCs w:val="24"/>
        </w:rPr>
        <w:footnoteReference w:id="2"/>
      </w:r>
      <w:r w:rsidRPr="00D53988">
        <w:rPr>
          <w:sz w:val="24"/>
          <w:szCs w:val="24"/>
        </w:rPr>
        <w:t xml:space="preserve"> dok je u FBiH krivični zakon usaglašen s međunarodnim standardima u inkriminaciji trgovine ljudima tek u 2016. godini. U 2015. godini promijenjen je Krivični zakon BiH</w:t>
      </w:r>
      <w:r w:rsidR="000470AC">
        <w:rPr>
          <w:rStyle w:val="FootnoteReference"/>
          <w:sz w:val="24"/>
          <w:szCs w:val="24"/>
        </w:rPr>
        <w:footnoteReference w:id="3"/>
      </w:r>
      <w:r w:rsidRPr="00D53988">
        <w:rPr>
          <w:sz w:val="24"/>
          <w:szCs w:val="24"/>
        </w:rPr>
        <w:t xml:space="preserve">  i Državna agencija za istrage i zaštitu i Tužilaštvo BiH od sredine 2015. nadležni su samo za međunarodnu trgovinu ljudima. Ove promjene provedene su „u tišini“, bez zvaničnih objašnjenja u javnosti i bez drugih aktivnosti kojima bi se jačali kapaciteti agencija za provođenje zakona na nižim nivoima vlasti za preuzimanje novih ovlaštenja u borbi protiv trgovine ljudima. </w:t>
      </w:r>
    </w:p>
    <w:p w:rsidR="000470AC" w:rsidRPr="00D53988" w:rsidRDefault="000470AC"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Istovremeno, u FBiH egzistirala je opasna pravna praznina jer, s obzirom da u ovom entitetu nije bio usklađen krivični zakon, mnogi počinioci krivičnih djela trgovine ljudima mogli su da budu amnestirani od odgovornosti ili blaže kažnjeni jer su suđeni samo za „navođenje na prostituciju“. Prema Krivičnom zakonu FBiH, za ovo krivično djelo najveća predviđena kazna bila  je 15 godina zatvora, a nije propisano kažnjavanje korisnika usluga žrtava trgovine ljudima.</w:t>
      </w:r>
    </w:p>
    <w:p w:rsidR="000470AC" w:rsidRPr="00D53988" w:rsidRDefault="000470AC"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 xml:space="preserve">Muškarac koji je prisiljavao na pružanje seksualnih usluga maloljetnu djevojku koju je i sam seksualno iskorištavao, osuđen je 2014. godine u Travniku na kaznu  zatvora od  1 (jedne) godine i 4 (četiri) mjeseca, za krivična djela „navođenje na prostituciju“ </w:t>
      </w:r>
      <w:r w:rsidR="000470AC">
        <w:rPr>
          <w:sz w:val="24"/>
          <w:szCs w:val="24"/>
        </w:rPr>
        <w:t>i „spolni odnošaj sa djetetom“.</w:t>
      </w:r>
      <w:r w:rsidR="000470AC">
        <w:rPr>
          <w:rStyle w:val="FootnoteReference"/>
          <w:sz w:val="24"/>
          <w:szCs w:val="24"/>
        </w:rPr>
        <w:footnoteReference w:id="4"/>
      </w:r>
      <w:r w:rsidRPr="00D53988">
        <w:rPr>
          <w:sz w:val="24"/>
          <w:szCs w:val="24"/>
        </w:rPr>
        <w:t xml:space="preserve"> Pored izuzetno niske kazne, krivično djelo je neadekvatno kvalifikovano, suprotno međunarodnim standardima u definisanju kr</w:t>
      </w:r>
      <w:r w:rsidR="000470AC">
        <w:rPr>
          <w:sz w:val="24"/>
          <w:szCs w:val="24"/>
        </w:rPr>
        <w:t>ivičnih djela trgovine ljudima.</w:t>
      </w:r>
      <w:r w:rsidR="000470AC">
        <w:rPr>
          <w:rStyle w:val="FootnoteReference"/>
          <w:sz w:val="24"/>
          <w:szCs w:val="24"/>
        </w:rPr>
        <w:footnoteReference w:id="5"/>
      </w:r>
      <w:r w:rsidRPr="00D53988">
        <w:rPr>
          <w:sz w:val="24"/>
          <w:szCs w:val="24"/>
        </w:rPr>
        <w:t xml:space="preserve"> Isti sud je početkom 2016. godine osudio na tri godine zatvora muškarca koji je godinu i po prisiljavao maloljetnu djevojku na pružanje seksualnih usluga, kvalifikujući djelo k</w:t>
      </w:r>
      <w:r w:rsidR="000470AC">
        <w:rPr>
          <w:sz w:val="24"/>
          <w:szCs w:val="24"/>
        </w:rPr>
        <w:t>ao „navođenje na prostituciju,“</w:t>
      </w:r>
      <w:r w:rsidR="000470AC">
        <w:rPr>
          <w:rStyle w:val="FootnoteReference"/>
          <w:sz w:val="24"/>
          <w:szCs w:val="24"/>
        </w:rPr>
        <w:footnoteReference w:id="6"/>
      </w:r>
      <w:r w:rsidRPr="00D53988">
        <w:rPr>
          <w:sz w:val="24"/>
          <w:szCs w:val="24"/>
        </w:rPr>
        <w:t xml:space="preserve">  Ove i slične presude, kojih u BiH ima dosta, ne obezbjeđuju pravdu za žrtve trgovine ljudima i šalju  javnosti poruku da trgovina ljudima nije opasan kri</w:t>
      </w:r>
      <w:r w:rsidR="000470AC">
        <w:rPr>
          <w:sz w:val="24"/>
          <w:szCs w:val="24"/>
        </w:rPr>
        <w:t>minal i kršenje ljudskih prava.</w:t>
      </w:r>
    </w:p>
    <w:p w:rsidR="000470AC" w:rsidRPr="00D53988" w:rsidRDefault="000470AC"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Izmjene krivičnih zakona u RS i BD BiH nisu u izvještajnom periodu dale željene efekte niti su unaprijedile zaštitu osoba koje su izložene trgovini ljudima. U RS od 2013. do 2016. godine policija je evidentirala  samo 3 (tri) krivična djela trgovine ljudima i 1 (jedan) slučaj navođenja na</w:t>
      </w:r>
      <w:r w:rsidR="000470AC">
        <w:rPr>
          <w:sz w:val="24"/>
          <w:szCs w:val="24"/>
        </w:rPr>
        <w:t xml:space="preserve"> prostituciju.</w:t>
      </w:r>
      <w:r w:rsidR="000470AC">
        <w:rPr>
          <w:rStyle w:val="FootnoteReference"/>
          <w:sz w:val="24"/>
          <w:szCs w:val="24"/>
        </w:rPr>
        <w:footnoteReference w:id="7"/>
      </w:r>
      <w:r w:rsidRPr="00D53988">
        <w:rPr>
          <w:sz w:val="24"/>
          <w:szCs w:val="24"/>
        </w:rPr>
        <w:t xml:space="preserve"> Policija BD BiH bila je efikasnija i otkrila više slučajeva trgovine ljudima, međutim, u nekoliko slučajeva Tužilaštvo distrikta mijenjalo je kvalifikaciju djela tako da je osoba za koju se sumnjalo da je kupila djevojčicu radi prinudnog braka, krivično gonjena za “vanbračnu zajednicu s mlađim maloljetnikom”, što je znatno blaže krivično djelo.</w:t>
      </w:r>
    </w:p>
    <w:p w:rsidR="000470AC" w:rsidRPr="00D53988" w:rsidRDefault="000470AC"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Zabrinjavajuća je činjenica da u RS postoji mogućnost  prekršajnog kažnjavanja žena koje su uključene u prostituciju, prema Zakonu o javnom redu i miru, iako u izvještajnom periodu nije izrečena nijedna ovakva kazna. Takođe, vlasti u BiH, na svim nivoima, ne tretiraju uključenost dječaka i djevojčica u prosjačenje kao trgovinu ljudima, a pojave prosjačenja rijetko se istražuju. Uglavnom se izriču prekršajne prijave za prosjačenje, prema roditeljima i drugim licima koja pri</w:t>
      </w:r>
      <w:r w:rsidR="000470AC">
        <w:rPr>
          <w:sz w:val="24"/>
          <w:szCs w:val="24"/>
        </w:rPr>
        <w:t>siljavaju djecu na prosjačenje.</w:t>
      </w:r>
    </w:p>
    <w:p w:rsidR="000470AC" w:rsidRPr="00D53988" w:rsidRDefault="000470AC" w:rsidP="00D53988">
      <w:pPr>
        <w:autoSpaceDE w:val="0"/>
        <w:autoSpaceDN w:val="0"/>
        <w:adjustRightInd w:val="0"/>
        <w:spacing w:after="0" w:line="240" w:lineRule="auto"/>
        <w:jc w:val="both"/>
        <w:rPr>
          <w:sz w:val="24"/>
          <w:szCs w:val="24"/>
        </w:rPr>
      </w:pPr>
    </w:p>
    <w:p w:rsidR="00D53988" w:rsidRPr="00D53988" w:rsidRDefault="00D53988" w:rsidP="00D53988">
      <w:pPr>
        <w:autoSpaceDE w:val="0"/>
        <w:autoSpaceDN w:val="0"/>
        <w:adjustRightInd w:val="0"/>
        <w:spacing w:after="0" w:line="240" w:lineRule="auto"/>
        <w:jc w:val="both"/>
        <w:rPr>
          <w:sz w:val="24"/>
          <w:szCs w:val="24"/>
        </w:rPr>
      </w:pPr>
      <w:r w:rsidRPr="00D53988">
        <w:rPr>
          <w:sz w:val="24"/>
          <w:szCs w:val="24"/>
        </w:rPr>
        <w:t>Navedene, kao i brojne druge presude potvrđuju da je kaznena politika za trgovinu ljudima i dalje neadekvatna težini krivičnog djela i povredi ljudskih prava. Sud</w:t>
      </w:r>
      <w:r w:rsidR="000470AC">
        <w:rPr>
          <w:sz w:val="24"/>
          <w:szCs w:val="24"/>
        </w:rPr>
        <w:t>ski procesi izuzetno dugo traju</w:t>
      </w:r>
      <w:r w:rsidR="000470AC">
        <w:rPr>
          <w:rStyle w:val="FootnoteReference"/>
          <w:sz w:val="24"/>
          <w:szCs w:val="24"/>
        </w:rPr>
        <w:footnoteReference w:id="8"/>
      </w:r>
      <w:r w:rsidRPr="00D53988">
        <w:rPr>
          <w:sz w:val="24"/>
          <w:szCs w:val="24"/>
        </w:rPr>
        <w:t>, a tužioci su skloni sklapanju sporazuma o priznanju krivice kojima trgovcima ljudima omogućavaju niske kazne.</w:t>
      </w:r>
      <w:r w:rsidR="000470AC">
        <w:rPr>
          <w:rStyle w:val="FootnoteReference"/>
          <w:sz w:val="24"/>
          <w:szCs w:val="24"/>
        </w:rPr>
        <w:footnoteReference w:id="9"/>
      </w:r>
      <w:r w:rsidRPr="00D53988">
        <w:rPr>
          <w:sz w:val="24"/>
          <w:szCs w:val="24"/>
        </w:rPr>
        <w:t xml:space="preserve"> Za sve sudske procese karakteristično je da žrtve nisu </w:t>
      </w:r>
      <w:r w:rsidRPr="00D53988">
        <w:rPr>
          <w:sz w:val="24"/>
          <w:szCs w:val="24"/>
        </w:rPr>
        <w:lastRenderedPageBreak/>
        <w:t>obeštećene krivičnom presudom. Sudije preživjele trgovine ljudima za obeštećenje upućuju na vođenje parničnog postupka za koji one nemaju ni sredstava ni adekvatnu pravnu pomoć. Nijedna osoba koja je bila žrtva trgovine ljudima do sada nije dobila obeštećenje za krivično djelo koje je preživjela.</w:t>
      </w:r>
    </w:p>
    <w:p w:rsidR="00D53988" w:rsidRPr="00D53988" w:rsidRDefault="00D53988" w:rsidP="00D53988">
      <w:pPr>
        <w:autoSpaceDE w:val="0"/>
        <w:autoSpaceDN w:val="0"/>
        <w:adjustRightInd w:val="0"/>
        <w:spacing w:after="0" w:line="240" w:lineRule="auto"/>
        <w:jc w:val="both"/>
        <w:rPr>
          <w:sz w:val="24"/>
          <w:szCs w:val="24"/>
        </w:rPr>
      </w:pPr>
    </w:p>
    <w:p w:rsidR="00D53988" w:rsidRPr="00D53988" w:rsidRDefault="00D53988" w:rsidP="00D53988">
      <w:pPr>
        <w:autoSpaceDE w:val="0"/>
        <w:autoSpaceDN w:val="0"/>
        <w:adjustRightInd w:val="0"/>
        <w:spacing w:after="0" w:line="240" w:lineRule="auto"/>
        <w:jc w:val="both"/>
        <w:rPr>
          <w:sz w:val="24"/>
          <w:szCs w:val="24"/>
        </w:rPr>
      </w:pPr>
      <w:r w:rsidRPr="00D53988">
        <w:rPr>
          <w:sz w:val="24"/>
          <w:szCs w:val="24"/>
        </w:rPr>
        <w:t>Uvid u sudsku dokumentaciju ukazuje da žrtve trgovine ljudima tokom suđenja veoma često nemaju pravnu pomoć. Takođe, tokom istraga i suđenja pred kantonalnim (FBiH) i okružnim sudovima (RS), žrtve trgovine ljudima ne dobijaju zaštitu koja je propisana međunarodnim standardima (Palermo protokol, Evropska konvencija za borbu protiv trgovine ljudima i drugi) i domaćim propisima. Dvije maloljetne žrtve koje su svjedočile pred Okružnim sudom u Istočnom Sarajevu nisu tokom procesa imale pravnog savjetnika niti pomoć centra za socijalni rad i nisu bile upoznate s pravom na smještaj u sigurnu kuću i pravnu i psihološku pomoć. Samo jedna organizacija, „Vaša prava“, ima sporazum sa Uredom državnog koordinatora za pružanje pravne pomo</w:t>
      </w:r>
      <w:r w:rsidR="000470AC">
        <w:rPr>
          <w:sz w:val="24"/>
          <w:szCs w:val="24"/>
        </w:rPr>
        <w:t>ći žrtvama, što nije dovoljno.</w:t>
      </w:r>
      <w:r w:rsidR="000470AC">
        <w:rPr>
          <w:rStyle w:val="FootnoteReference"/>
          <w:sz w:val="24"/>
          <w:szCs w:val="24"/>
        </w:rPr>
        <w:footnoteReference w:id="10"/>
      </w:r>
    </w:p>
    <w:p w:rsidR="00D53988" w:rsidRPr="00D53988" w:rsidRDefault="00D53988" w:rsidP="00D53988">
      <w:pPr>
        <w:autoSpaceDE w:val="0"/>
        <w:autoSpaceDN w:val="0"/>
        <w:adjustRightInd w:val="0"/>
        <w:spacing w:after="0" w:line="240" w:lineRule="auto"/>
        <w:jc w:val="both"/>
        <w:rPr>
          <w:sz w:val="24"/>
          <w:szCs w:val="24"/>
        </w:rPr>
      </w:pPr>
    </w:p>
    <w:p w:rsidR="00D53988" w:rsidRDefault="00D53988" w:rsidP="00D53988">
      <w:pPr>
        <w:autoSpaceDE w:val="0"/>
        <w:autoSpaceDN w:val="0"/>
        <w:adjustRightInd w:val="0"/>
        <w:spacing w:after="0" w:line="240" w:lineRule="auto"/>
        <w:jc w:val="both"/>
        <w:rPr>
          <w:sz w:val="24"/>
          <w:szCs w:val="24"/>
        </w:rPr>
      </w:pPr>
      <w:r w:rsidRPr="00D53988">
        <w:rPr>
          <w:sz w:val="24"/>
          <w:szCs w:val="24"/>
        </w:rPr>
        <w:t>U BiH i dalje kao podrška identifikaciji žrtava trgovine ljudima postoje 4 (četiri) monitoring tima sastavljena od predstavnika vladinog i nevladinog sektora i logistički su vezana za 4 regionalna ureda Državne agencije za istrage i zaštitu (SIPA), u Tuzli, Mostaru, Banjaluci i Sarajevu. Nakon izmjena zakona, a potom i nadležnosti u krivičnom gonjenju počinilaca trgovine ljudima, ovo se nije promijenilo. Ovaj sistem identifikacije danas ne odgovara stanju na terenu, što za rezultat ima veoma mali broj identifikovanih žrtava trgovine ljudima, kao i nedovoljnu pomoć koju žrtve dobijaju. Sve je manje nevladinih organizacija uključeno u identifikaciju žrtava, što direktno utiče na smanjen broj otkrivenih slučajeva trgovine ljudima. Primjer iz Doboja potvrđuje koliko je uključivanje nevladinih organizacija u ranoj fazi identifikacije žrtava važno, jer je zahvaljujući radu UG „Budućnost“ iz Modriče, slučaj koji je prvobitno kvalifikovan kao nasilje u porodici sa sumnjom na trgovinu ljudima, saradnjom tužilaštva iz Doboja i sigurne kuće u Modriči, do kraja razotkriven i procesuiran kao trgovina ljudima i otac koji je prisiljavao dvije kćerke na pružanje seksualnih usluga za novac osuđen je na 5,5 godina zatvora. Presuda iz Općinskog suda u Orašju</w:t>
      </w:r>
      <w:r w:rsidR="000470AC">
        <w:rPr>
          <w:rStyle w:val="FootnoteReference"/>
          <w:sz w:val="24"/>
          <w:szCs w:val="24"/>
        </w:rPr>
        <w:footnoteReference w:id="11"/>
      </w:r>
      <w:r w:rsidRPr="00D53988">
        <w:rPr>
          <w:sz w:val="24"/>
          <w:szCs w:val="24"/>
        </w:rPr>
        <w:t xml:space="preserve"> (Posavska županija, FBiH), u kojoj je sestra osuđena jer je podvodila svoju maloljetnu sestru svom vanbračnom suprugu, ucjenjujući je poklonima koje je od njega dobijala, ukazuje da je, uz podršku i zaštitu žrtvi ovaj slučaj mogao takođe da bude kvalifikovan kao trgovina ljudima. Međutim, bez dodatne podrške, suđeno je kao spolni odnos s djetetom i upozn</w:t>
      </w:r>
      <w:r w:rsidR="000470AC">
        <w:rPr>
          <w:sz w:val="24"/>
          <w:szCs w:val="24"/>
        </w:rPr>
        <w:t>avanje djeteta s pornografijom.</w:t>
      </w:r>
    </w:p>
    <w:p w:rsidR="000470AC" w:rsidRPr="00D53988" w:rsidRDefault="000470AC" w:rsidP="00D53988">
      <w:pPr>
        <w:autoSpaceDE w:val="0"/>
        <w:autoSpaceDN w:val="0"/>
        <w:adjustRightInd w:val="0"/>
        <w:spacing w:after="0" w:line="240" w:lineRule="auto"/>
        <w:jc w:val="both"/>
        <w:rPr>
          <w:sz w:val="24"/>
          <w:szCs w:val="24"/>
        </w:rPr>
      </w:pPr>
    </w:p>
    <w:p w:rsidR="00AE61B4" w:rsidRDefault="00D53988" w:rsidP="00D53988">
      <w:pPr>
        <w:autoSpaceDE w:val="0"/>
        <w:autoSpaceDN w:val="0"/>
        <w:adjustRightInd w:val="0"/>
        <w:spacing w:after="0" w:line="240" w:lineRule="auto"/>
        <w:jc w:val="both"/>
        <w:rPr>
          <w:sz w:val="24"/>
          <w:szCs w:val="24"/>
        </w:rPr>
      </w:pPr>
      <w:r w:rsidRPr="00D53988">
        <w:rPr>
          <w:sz w:val="24"/>
          <w:szCs w:val="24"/>
        </w:rPr>
        <w:t>Finansijska sredstva koja se iz državnog budžeta izdvajaju za prevenciju trgovine ljudima i pružanje pomoći žrtvama su nedovoljna i usmjerena samo na nekoliko odabranih NVO. U jednom periodu problematično je bilo to što su sve organizacije koje zbrinjavaju žrtve trgovine ljudima bile locirane u FBiH, na uskom prostoru od 5</w:t>
      </w:r>
      <w:r w:rsidR="000470AC">
        <w:rPr>
          <w:sz w:val="24"/>
          <w:szCs w:val="24"/>
        </w:rPr>
        <w:t>0 do 60 kilometara oko Sarajeva</w:t>
      </w:r>
      <w:r w:rsidR="000470AC">
        <w:rPr>
          <w:rStyle w:val="FootnoteReference"/>
          <w:sz w:val="24"/>
          <w:szCs w:val="24"/>
        </w:rPr>
        <w:footnoteReference w:id="12"/>
      </w:r>
      <w:r w:rsidRPr="00D53988">
        <w:rPr>
          <w:sz w:val="24"/>
          <w:szCs w:val="24"/>
        </w:rPr>
        <w:t>. Odabrana skloništa jako su udaljena za velik</w:t>
      </w:r>
      <w:r w:rsidR="000470AC">
        <w:rPr>
          <w:sz w:val="24"/>
          <w:szCs w:val="24"/>
        </w:rPr>
        <w:t>i broj potencijalnih korisnica,</w:t>
      </w:r>
      <w:r w:rsidR="000470AC">
        <w:rPr>
          <w:rStyle w:val="FootnoteReference"/>
          <w:sz w:val="24"/>
          <w:szCs w:val="24"/>
        </w:rPr>
        <w:footnoteReference w:id="13"/>
      </w:r>
      <w:r w:rsidRPr="00D53988">
        <w:rPr>
          <w:sz w:val="24"/>
          <w:szCs w:val="24"/>
        </w:rPr>
        <w:t xml:space="preserve"> kao i za djelotvorne programe reintegracije u kojima je za žrtve važno obnavljanje socijalnih veza u </w:t>
      </w:r>
      <w:r w:rsidRPr="00D53988">
        <w:rPr>
          <w:sz w:val="24"/>
          <w:szCs w:val="24"/>
        </w:rPr>
        <w:lastRenderedPageBreak/>
        <w:t>zajednici u kojoj su živjele. Fokus državnih vlasti sve više je usmjeren na prevenciju radne eksploatacije i zloupotrebe djece u prosjačenju, dok se seksualna eksploatacija žena marginalizuje, što je trend koji može dovesti do diskriminacije žena žrtava trgovine ljudima u odnosu na druge kategorije žrtava.</w:t>
      </w:r>
      <w:r w:rsidR="000470AC">
        <w:rPr>
          <w:rStyle w:val="FootnoteReference"/>
          <w:sz w:val="24"/>
          <w:szCs w:val="24"/>
        </w:rPr>
        <w:footnoteReference w:id="14"/>
      </w:r>
      <w:r w:rsidRPr="00D53988">
        <w:rPr>
          <w:sz w:val="24"/>
          <w:szCs w:val="24"/>
        </w:rPr>
        <w:t xml:space="preserve"> Iako je važno otkriti i kazniti svaki oblik trgovine ljudima, veći nivo tolerancije prema iskorištavanju žena u ilegalnoj prostituciji može doprinijeti eskalaciji ovog oblika kršenja ženskih ljudskih prava i uopšte povećanju trgovine ljudima. Ovoj bojazni doprinose i sve češći natpisi medija o prostituciji kao „dobrom“ zanimanju za žene i takozvanoj elitnoj prostituciji.</w:t>
      </w:r>
      <w:r w:rsidR="000470AC">
        <w:rPr>
          <w:rStyle w:val="FootnoteReference"/>
          <w:sz w:val="24"/>
          <w:szCs w:val="24"/>
        </w:rPr>
        <w:footnoteReference w:id="15"/>
      </w:r>
      <w:r w:rsidRPr="00D53988">
        <w:rPr>
          <w:sz w:val="24"/>
          <w:szCs w:val="24"/>
        </w:rPr>
        <w:t xml:space="preserve"> Iako u nekim od ovih tekstova ima i priča o teškim iskustvima žena i posredovanju u organizovanju prostitucije, ni jedna istraga nije pokrenuta na osnovu ovih senzacionalističkih medijskih izvještaja. Iako neki od medija pišu o sve većem broju žena koje rade na tržištu ilegalne prostitucije, ni jedna državna služba ne radi analize o problemu siromaštva žena i njihove seksualne eksploatacije. Nema objedinjenih podataka ili procjena o broju žena koje se bave prostitucijom, ni programa pomoći koji bi im omogućio da napuste ovaj rizičan i opasan „posao“.  Ova kategorija žena potpuno je van zakona i nema nikakvih prava na pomoć i rehabilitaciju, osim ako se dokaže da je bila žrtva trgovine ljudima ili navođenja na prostituciju.   </w:t>
      </w:r>
    </w:p>
    <w:p w:rsidR="00D53988" w:rsidRDefault="00D53988" w:rsidP="00D53988">
      <w:pPr>
        <w:autoSpaceDE w:val="0"/>
        <w:autoSpaceDN w:val="0"/>
        <w:adjustRightInd w:val="0"/>
        <w:spacing w:after="0" w:line="240" w:lineRule="auto"/>
        <w:jc w:val="both"/>
        <w:rPr>
          <w:sz w:val="24"/>
          <w:szCs w:val="24"/>
        </w:rPr>
      </w:pPr>
    </w:p>
    <w:p w:rsidR="004C00D0" w:rsidRPr="008854CD" w:rsidRDefault="00AD7BF9" w:rsidP="004C00D0">
      <w:pPr>
        <w:spacing w:after="0" w:line="240" w:lineRule="auto"/>
        <w:jc w:val="both"/>
        <w:rPr>
          <w:b/>
          <w:color w:val="212121"/>
          <w:sz w:val="24"/>
          <w:szCs w:val="24"/>
        </w:rPr>
      </w:pPr>
      <w:r w:rsidRPr="00E411F1">
        <w:rPr>
          <w:b/>
          <w:color w:val="212121"/>
          <w:sz w:val="24"/>
          <w:szCs w:val="24"/>
        </w:rPr>
        <w:t>PREPORUKE</w:t>
      </w:r>
      <w:r w:rsidRPr="008854CD">
        <w:rPr>
          <w:b/>
          <w:color w:val="212121"/>
          <w:sz w:val="24"/>
          <w:szCs w:val="24"/>
        </w:rPr>
        <w:t xml:space="preserve"> </w:t>
      </w:r>
    </w:p>
    <w:p w:rsidR="004C00D0" w:rsidRPr="008854CD" w:rsidRDefault="004C00D0" w:rsidP="004C00D0">
      <w:pPr>
        <w:spacing w:after="0" w:line="240" w:lineRule="auto"/>
        <w:jc w:val="both"/>
        <w:rPr>
          <w:b/>
          <w:color w:val="212121"/>
          <w:sz w:val="24"/>
          <w:szCs w:val="24"/>
        </w:rPr>
      </w:pPr>
    </w:p>
    <w:p w:rsidR="00D53988" w:rsidRPr="00D53988" w:rsidRDefault="00D53988" w:rsidP="00D53988">
      <w:pPr>
        <w:pStyle w:val="HTMLPreformatted"/>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Da bi se unaprijedila ukupna akcija protiv trgovine ljudima u BiH i obezbijedila adekvatna zaštita i pomoć žrtvama, neophodno je da BiH:</w:t>
      </w:r>
    </w:p>
    <w:p w:rsidR="00D53988" w:rsidRPr="00D53988" w:rsidRDefault="00D53988" w:rsidP="00D53988">
      <w:pPr>
        <w:pStyle w:val="HTMLPreformatted"/>
        <w:shd w:val="clear" w:color="auto" w:fill="FFFFFF"/>
        <w:tabs>
          <w:tab w:val="left" w:pos="567"/>
        </w:tabs>
        <w:spacing w:after="120"/>
        <w:jc w:val="both"/>
        <w:rPr>
          <w:rFonts w:ascii="Calibri" w:hAnsi="Calibri"/>
          <w:sz w:val="24"/>
          <w:szCs w:val="24"/>
          <w:lang w:val="hr-BA"/>
        </w:rPr>
      </w:pPr>
    </w:p>
    <w:p w:rsidR="00D53988" w:rsidRPr="00D53988"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provede analizu efikasnosti dosadašnjih zakonskih izmjena i promjena nadležnosti u vođenju istraga i procesuiranju počinilaca trgovine ljudima i shodno nalazima organizuje djelotvoran sistem koordinacije na nivou države i  kvalitetne mehanizme za ranu identifikaciju žrtava na lokalnom nivou, posebno na nivou okružnih i kantonalnih tužilaštava i tužilaštava BD BiH u koje će biti uključene i nevladine organizacije;</w:t>
      </w:r>
    </w:p>
    <w:p w:rsidR="00D53988" w:rsidRPr="00D53988"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osigura obaveznu i rodno osjetljivu obuku za sudije, tužioce, policijske službenike i druge službenike za provedbu zakona o primjeni zakonskih odredbi, uključujući propise o zaštiti žrtava trgovine ludima;</w:t>
      </w:r>
    </w:p>
    <w:p w:rsidR="00D53988" w:rsidRPr="00D53988"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uspostavi jednu ili više funkcionalnih državnih kompenzacionih šema</w:t>
      </w:r>
      <w:r w:rsidR="000470AC">
        <w:rPr>
          <w:rStyle w:val="FootnoteReference"/>
          <w:rFonts w:ascii="Calibri" w:hAnsi="Calibri"/>
          <w:sz w:val="24"/>
          <w:szCs w:val="24"/>
          <w:lang w:val="hr-BA"/>
        </w:rPr>
        <w:footnoteReference w:id="16"/>
      </w:r>
      <w:r w:rsidRPr="00D53988">
        <w:rPr>
          <w:rFonts w:ascii="Calibri" w:hAnsi="Calibri"/>
          <w:sz w:val="24"/>
          <w:szCs w:val="24"/>
          <w:lang w:val="hr-BA"/>
        </w:rPr>
        <w:t xml:space="preserve"> za obeštećenje žrtava trgovine ljudima uz poštivanje međunarodnih standarda za obezbjeđenje novčane naknade za žrtve teških krivičnih djela; </w:t>
      </w:r>
    </w:p>
    <w:p w:rsidR="00D53988" w:rsidRPr="00D53988"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lastRenderedPageBreak/>
        <w:t>unaprijedi pravno savjetovanje i pravno zastupanje žrtava uključujući viš</w:t>
      </w:r>
      <w:r w:rsidR="000470AC">
        <w:rPr>
          <w:rFonts w:ascii="Calibri" w:hAnsi="Calibri"/>
          <w:sz w:val="24"/>
          <w:szCs w:val="24"/>
          <w:lang w:val="hr-BA"/>
        </w:rPr>
        <w:t>e vladinih i nevladinih centara</w:t>
      </w:r>
      <w:r w:rsidR="000470AC">
        <w:rPr>
          <w:rStyle w:val="FootnoteReference"/>
          <w:rFonts w:ascii="Calibri" w:hAnsi="Calibri"/>
          <w:sz w:val="24"/>
          <w:szCs w:val="24"/>
          <w:lang w:val="hr-BA"/>
        </w:rPr>
        <w:footnoteReference w:id="17"/>
      </w:r>
      <w:r w:rsidRPr="00D53988">
        <w:rPr>
          <w:rFonts w:ascii="Calibri" w:hAnsi="Calibri"/>
          <w:sz w:val="24"/>
          <w:szCs w:val="24"/>
          <w:lang w:val="hr-BA"/>
        </w:rPr>
        <w:t xml:space="preserve"> za pružanje besplatne pravne pomoći u državni referalni mehanizam za pružanje pomoći žrtvama;  </w:t>
      </w:r>
    </w:p>
    <w:p w:rsidR="00D53988" w:rsidRPr="00D53988"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 xml:space="preserve">osigura odgovarajuće finansiranje za aktivnosti protiv trgovine ludima koje preduzimaju nevladine organizacije; </w:t>
      </w:r>
    </w:p>
    <w:p w:rsidR="008A4D29" w:rsidRPr="008C36DB" w:rsidRDefault="00D53988" w:rsidP="00D53988">
      <w:pPr>
        <w:pStyle w:val="HTMLPreformatted"/>
        <w:numPr>
          <w:ilvl w:val="0"/>
          <w:numId w:val="8"/>
        </w:numPr>
        <w:shd w:val="clear" w:color="auto" w:fill="FFFFFF"/>
        <w:tabs>
          <w:tab w:val="left" w:pos="567"/>
        </w:tabs>
        <w:spacing w:after="120"/>
        <w:jc w:val="both"/>
        <w:rPr>
          <w:rFonts w:ascii="Calibri" w:hAnsi="Calibri"/>
          <w:sz w:val="24"/>
          <w:szCs w:val="24"/>
          <w:lang w:val="hr-BA"/>
        </w:rPr>
      </w:pPr>
      <w:r w:rsidRPr="00D53988">
        <w:rPr>
          <w:rFonts w:ascii="Calibri" w:hAnsi="Calibri"/>
          <w:sz w:val="24"/>
          <w:szCs w:val="24"/>
          <w:lang w:val="hr-BA"/>
        </w:rPr>
        <w:t>slijedi sveobuhvatni pristup u rješavanju eksploatacije u svrhu prostitucije, uključujući zakonsku regulativu i razvijanje strategija kojima će podržati i obezbijediti rehabilitaciju za žene koje žele da napuste prostituciju, i da obezbijedi u narednom periodičnom izvještaju iscrpne informacije i podatke o rasprostranjenosti iskorištavanja u svrhu prostitucije korištenjem više izvora podataka, a ne samo trenutno razotkrivene slučajeve navođenja na prostituciju.</w:t>
      </w:r>
    </w:p>
    <w:sectPr w:rsidR="008A4D29" w:rsidRPr="008C36DB">
      <w:footnotePr>
        <w:numStart w:val="8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A9" w:rsidRDefault="008465A9" w:rsidP="004C00D0">
      <w:pPr>
        <w:spacing w:after="0" w:line="240" w:lineRule="auto"/>
      </w:pPr>
      <w:r>
        <w:separator/>
      </w:r>
    </w:p>
  </w:endnote>
  <w:endnote w:type="continuationSeparator" w:id="0">
    <w:p w:rsidR="008465A9" w:rsidRDefault="008465A9" w:rsidP="004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leway">
    <w:altName w:val="Times New Roman"/>
    <w:panose1 w:val="00000000000000000000"/>
    <w:charset w:val="EE"/>
    <w:family w:val="auto"/>
    <w:notTrueType/>
    <w:pitch w:val="default"/>
    <w:sig w:usb0="00000001" w:usb1="00000000" w:usb2="00000000" w:usb3="00000000" w:csb0="00000003" w:csb1="00000000"/>
  </w:font>
  <w:font w:name="Georgia-Bold">
    <w:panose1 w:val="00000000000000000000"/>
    <w:charset w:val="EE"/>
    <w:family w:val="auto"/>
    <w:notTrueType/>
    <w:pitch w:val="default"/>
    <w:sig w:usb0="00000005" w:usb1="00000000" w:usb2="00000000" w:usb3="00000000" w:csb0="00000002" w:csb1="00000000"/>
  </w:font>
  <w:font w:name="Georg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A9" w:rsidRDefault="008465A9" w:rsidP="004C00D0">
      <w:pPr>
        <w:spacing w:after="0" w:line="240" w:lineRule="auto"/>
      </w:pPr>
      <w:r>
        <w:separator/>
      </w:r>
    </w:p>
  </w:footnote>
  <w:footnote w:type="continuationSeparator" w:id="0">
    <w:p w:rsidR="008465A9" w:rsidRDefault="008465A9" w:rsidP="004C00D0">
      <w:pPr>
        <w:spacing w:after="0" w:line="240" w:lineRule="auto"/>
      </w:pPr>
      <w:r>
        <w:continuationSeparator/>
      </w:r>
    </w:p>
  </w:footnote>
  <w:footnote w:id="1">
    <w:p w:rsidR="000470AC" w:rsidRPr="000470AC" w:rsidRDefault="000470AC" w:rsidP="000470AC">
      <w:pPr>
        <w:pStyle w:val="FootnoteText"/>
        <w:rPr>
          <w:sz w:val="18"/>
          <w:szCs w:val="18"/>
        </w:rPr>
      </w:pPr>
      <w:r w:rsidRPr="000470AC">
        <w:rPr>
          <w:rStyle w:val="FootnoteReference"/>
          <w:sz w:val="18"/>
          <w:szCs w:val="18"/>
        </w:rPr>
        <w:footnoteRef/>
      </w:r>
      <w:r w:rsidRPr="000470AC">
        <w:rPr>
          <w:sz w:val="18"/>
          <w:szCs w:val="18"/>
        </w:rPr>
        <w:t xml:space="preserve"> Pored Člana 198. (Trgovina ljudima radi vršenja prostitucije)  u Krivični zakon RS uvedena su još tri člana, 198a., 198b. i 198v. kojima su dodatno inkriminisani različiti oblici trgovine ljudima, kao i kažnjavanje korisnika seksualnih usluga žrtava trgovine ljudima. ( Zakon o izmjenama i dopunama Krivičnog zakona (Službeni glasnik RS, broj: 67/13))</w:t>
      </w:r>
    </w:p>
  </w:footnote>
  <w:footnote w:id="2">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Članovi 207. – 209., Krivični zakon BD BiH, prečišćen tekst (Službeni glasnik BD BiH, broj: 33/13)</w:t>
      </w:r>
    </w:p>
  </w:footnote>
  <w:footnote w:id="3">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Član 11., 12.,13.,14., Izmjene i dopune Krivičnog zakona BiH (Službeni glasnik BiH, broj: 40/15)</w:t>
      </w:r>
    </w:p>
  </w:footnote>
  <w:footnote w:id="4">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Presuda broj:06 0 K 004665 14 K, Kantonalni sud u Novom Travniku</w:t>
      </w:r>
    </w:p>
  </w:footnote>
  <w:footnote w:id="5">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Protokol za prevenciju, suzbijanje i kažnjavanje trgovine ljudskim bićima, naročito ženama i djecom (2000). U stavu (a) člana 3 Protokola definisana je trgovina ljudima. U praksi se ovaj dokument najčešće naziva Palermo protokol i on daje okvir za prepoznavanje i definiciju krivičnih djela iz oblasti trgovine ljudima za sve zemlje potpisnice, među kojima je i BiH.</w:t>
      </w:r>
    </w:p>
  </w:footnote>
  <w:footnote w:id="6">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Presuda broj: 06 0 K 008165 15 K, Kantonalni sud u Novom Travniku</w:t>
      </w:r>
    </w:p>
  </w:footnote>
  <w:footnote w:id="7">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Statistički podaci MUP RS, Okrugli sto „Rasprostranjenost i iskustva u otkrivanju slučajeva trgovine ljudima u RS i BD BiH”, Mreža RING, mart 2016. godine</w:t>
      </w:r>
    </w:p>
  </w:footnote>
  <w:footnote w:id="8">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Zabilježen je sudski proces koji je trajao 12 godina.</w:t>
      </w:r>
    </w:p>
  </w:footnote>
  <w:footnote w:id="9">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Jedan sudija Suda BiH u više je navrata odbio da prihvati sporazum o priznanju krivice kojim je Tužilaštvo BiH trgovcima ljudima željelo da omogući  da dobiju kazne niže od najniže zakonom propisane kazne za trgovinu ljudima. Riječ je o prijavi sudije Suda BiH Branka Perića glavnom tužiocu BiH, Goranu Salihoviću, za postupanje nadležnog tužioca u sudskom procesu protiv M.Ć. i drugih optuženih za trgovinu ljudima i organizovani  kriminal.</w:t>
      </w:r>
    </w:p>
  </w:footnote>
  <w:footnote w:id="10">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Predstavnik Vaših prava na Konferenciji mreže Ring u Brčkom, novembra 2013. godine iznio je podatak da je ova organizacija tokom 2013.  godine pružila pomoć za samo 6 žrtava, iako je  te godine u BiH identifikovano 49 žrtava trgovine ljudima. Fondacija „Lara“, Zapisnik sa Konferencije.</w:t>
      </w:r>
    </w:p>
  </w:footnote>
  <w:footnote w:id="11">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Presuda broj: 25 0 K 026700 15 K 2, Općinski sud Orašje.</w:t>
      </w:r>
    </w:p>
  </w:footnote>
  <w:footnote w:id="12">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Sigurne kuće Međunarodnog foruma solidarnosti u Sarajevu i okolini Doboja.</w:t>
      </w:r>
    </w:p>
  </w:footnote>
  <w:footnote w:id="13">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Mnoga mjesta u BiH udaljena su 300 i više kilometara od Sarajeva, što je, uz loše saobraćajnice, velika prepreka  u dostupnosti servisa podrške kao što su sigurne kuće za žrtve trgovine ljudima.</w:t>
      </w:r>
    </w:p>
  </w:footnote>
  <w:footnote w:id="14">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U strukturi identifikovanih žrtava trgovine ljudima za 2014. godinu, od njih 48, 38 su bile žrtve prisilnog prosjačenja i rada, a samo 10 seksualne eksploatacije. U 2015. godini identifikovano je samo 7 žrtava seksualne eksploatacije i 24 žrtve prisilnog prosjačenja. Tokom 2014. i 2015. godine, kampanje koje je finansiralo Ministarstvo sigurnosti povodom 18. oktobra, Evropskog dana borbe protiv trgovine ljudima, u fokusu su imale zaustavljanje zloupotrebe djece u prosjačenju.</w:t>
      </w:r>
    </w:p>
  </w:footnote>
  <w:footnote w:id="15">
    <w:p w:rsidR="000470AC" w:rsidRPr="000470AC" w:rsidRDefault="000470AC" w:rsidP="000470AC">
      <w:pPr>
        <w:pStyle w:val="FootnoteText"/>
        <w:rPr>
          <w:sz w:val="18"/>
          <w:szCs w:val="18"/>
        </w:rPr>
      </w:pPr>
      <w:r w:rsidRPr="000470AC">
        <w:rPr>
          <w:rStyle w:val="FootnoteReference"/>
          <w:sz w:val="18"/>
          <w:szCs w:val="18"/>
        </w:rPr>
        <w:footnoteRef/>
      </w:r>
      <w:r w:rsidRPr="000470AC">
        <w:rPr>
          <w:sz w:val="18"/>
          <w:szCs w:val="18"/>
        </w:rPr>
        <w:t xml:space="preserve"> http://www.banjalukalive.com/aktuelnosti/ispovijest-banjaluckih-prostitutki.html, http://depo.ba/clanak/91395/inspektor-ognjen-kos-me-je-tjerao-da-placam-reket-a-ako-ne-bih-imala-novac-onda-me-tukao</w:t>
      </w:r>
    </w:p>
    <w:p w:rsidR="000470AC" w:rsidRPr="000470AC" w:rsidRDefault="000470AC" w:rsidP="000470AC">
      <w:pPr>
        <w:pStyle w:val="FootnoteText"/>
        <w:rPr>
          <w:sz w:val="18"/>
          <w:szCs w:val="18"/>
        </w:rPr>
      </w:pPr>
      <w:r w:rsidRPr="000470AC">
        <w:rPr>
          <w:sz w:val="18"/>
          <w:szCs w:val="18"/>
        </w:rPr>
        <w:t>http://www.nezavisne.com/zivot-stil/zivot/Ispovijest-tuzlanske-prostitutke-Koliko-kosta-seks-uz-cestu/327224?utm_source=feedburner&amp;utm_medium=feed&amp;utm_campaign=Feed%3A+ZivotIStil-NezavisneNovine+(Zivot+i+stil+-+Nezavisne+novine)</w:t>
      </w:r>
    </w:p>
  </w:footnote>
  <w:footnote w:id="16">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BiH ima 4 (četiri)  samostalna krivično-pravna sistema i kompenzacione šeme moguće je  uspostaviti na nivou entiteta, BD BiH i na razini države. Moguće rješenje je i  jedinstvena kompenzaciona šema na nivou države za koju bi saglasnost dala sva tri navedena nivoa administrativnog organizovanja.</w:t>
      </w:r>
    </w:p>
  </w:footnote>
  <w:footnote w:id="17">
    <w:p w:rsidR="000470AC" w:rsidRPr="000470AC" w:rsidRDefault="000470AC">
      <w:pPr>
        <w:pStyle w:val="FootnoteText"/>
        <w:rPr>
          <w:sz w:val="18"/>
          <w:szCs w:val="18"/>
        </w:rPr>
      </w:pPr>
      <w:r w:rsidRPr="000470AC">
        <w:rPr>
          <w:rStyle w:val="FootnoteReference"/>
          <w:sz w:val="18"/>
          <w:szCs w:val="18"/>
        </w:rPr>
        <w:footnoteRef/>
      </w:r>
      <w:r w:rsidRPr="000470AC">
        <w:rPr>
          <w:sz w:val="18"/>
          <w:szCs w:val="18"/>
        </w:rPr>
        <w:t xml:space="preserve"> Više ženskih NVO, braniteljica ljudskih prava, imaju razvijene službe pravne pomoći i potreban senzibilitet da pruže adekvatno pravno upućivanje i pravnu pomoć žrtvama.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57"/>
    <w:multiLevelType w:val="hybridMultilevel"/>
    <w:tmpl w:val="F4A4C00C"/>
    <w:lvl w:ilvl="0" w:tplc="1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D5785"/>
    <w:multiLevelType w:val="hybridMultilevel"/>
    <w:tmpl w:val="9B98B5F8"/>
    <w:lvl w:ilvl="0" w:tplc="A388012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74CA"/>
    <w:multiLevelType w:val="hybridMultilevel"/>
    <w:tmpl w:val="621C51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B82F16"/>
    <w:multiLevelType w:val="hybridMultilevel"/>
    <w:tmpl w:val="09AED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FC4015"/>
    <w:multiLevelType w:val="hybridMultilevel"/>
    <w:tmpl w:val="6E121A4C"/>
    <w:lvl w:ilvl="0" w:tplc="141A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617A1"/>
    <w:multiLevelType w:val="hybridMultilevel"/>
    <w:tmpl w:val="605288EE"/>
    <w:lvl w:ilvl="0" w:tplc="141A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7F25B66"/>
    <w:multiLevelType w:val="hybridMultilevel"/>
    <w:tmpl w:val="60BC8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D6888"/>
    <w:multiLevelType w:val="hybridMultilevel"/>
    <w:tmpl w:val="F9D894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numStart w:val="8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A"/>
    <w:rsid w:val="000470AC"/>
    <w:rsid w:val="00124515"/>
    <w:rsid w:val="0028252A"/>
    <w:rsid w:val="002A0316"/>
    <w:rsid w:val="002D6773"/>
    <w:rsid w:val="00317EAA"/>
    <w:rsid w:val="00364482"/>
    <w:rsid w:val="003C0BCA"/>
    <w:rsid w:val="00486D82"/>
    <w:rsid w:val="004C00D0"/>
    <w:rsid w:val="004F6A67"/>
    <w:rsid w:val="0057103A"/>
    <w:rsid w:val="005820EC"/>
    <w:rsid w:val="005F4A56"/>
    <w:rsid w:val="006A3A99"/>
    <w:rsid w:val="006A6977"/>
    <w:rsid w:val="006B3E25"/>
    <w:rsid w:val="006E1CFE"/>
    <w:rsid w:val="00723432"/>
    <w:rsid w:val="007548C3"/>
    <w:rsid w:val="00756D5E"/>
    <w:rsid w:val="007E5FD5"/>
    <w:rsid w:val="0084436F"/>
    <w:rsid w:val="008465A9"/>
    <w:rsid w:val="008A19B4"/>
    <w:rsid w:val="008A4D29"/>
    <w:rsid w:val="008A5085"/>
    <w:rsid w:val="008B5201"/>
    <w:rsid w:val="008B5B7B"/>
    <w:rsid w:val="008C36DB"/>
    <w:rsid w:val="009306BA"/>
    <w:rsid w:val="00966805"/>
    <w:rsid w:val="00994D0D"/>
    <w:rsid w:val="00A83739"/>
    <w:rsid w:val="00A943B2"/>
    <w:rsid w:val="00A96F11"/>
    <w:rsid w:val="00AD7BF9"/>
    <w:rsid w:val="00AE61B4"/>
    <w:rsid w:val="00B30114"/>
    <w:rsid w:val="00C055A9"/>
    <w:rsid w:val="00C140DD"/>
    <w:rsid w:val="00C30BEE"/>
    <w:rsid w:val="00CB3A11"/>
    <w:rsid w:val="00D53988"/>
    <w:rsid w:val="00D97C5C"/>
    <w:rsid w:val="00E17F01"/>
    <w:rsid w:val="00E411F1"/>
    <w:rsid w:val="00E50800"/>
    <w:rsid w:val="00F24396"/>
    <w:rsid w:val="00F826B6"/>
    <w:rsid w:val="00FB78B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244">
      <w:bodyDiv w:val="1"/>
      <w:marLeft w:val="0"/>
      <w:marRight w:val="0"/>
      <w:marTop w:val="0"/>
      <w:marBottom w:val="0"/>
      <w:divBdr>
        <w:top w:val="none" w:sz="0" w:space="0" w:color="auto"/>
        <w:left w:val="none" w:sz="0" w:space="0" w:color="auto"/>
        <w:bottom w:val="none" w:sz="0" w:space="0" w:color="auto"/>
        <w:right w:val="none" w:sz="0" w:space="0" w:color="auto"/>
      </w:divBdr>
    </w:div>
    <w:div w:id="350113070">
      <w:bodyDiv w:val="1"/>
      <w:marLeft w:val="0"/>
      <w:marRight w:val="0"/>
      <w:marTop w:val="0"/>
      <w:marBottom w:val="0"/>
      <w:divBdr>
        <w:top w:val="none" w:sz="0" w:space="0" w:color="auto"/>
        <w:left w:val="none" w:sz="0" w:space="0" w:color="auto"/>
        <w:bottom w:val="none" w:sz="0" w:space="0" w:color="auto"/>
        <w:right w:val="none" w:sz="0" w:space="0" w:color="auto"/>
      </w:divBdr>
    </w:div>
    <w:div w:id="588659550">
      <w:bodyDiv w:val="1"/>
      <w:marLeft w:val="0"/>
      <w:marRight w:val="0"/>
      <w:marTop w:val="0"/>
      <w:marBottom w:val="0"/>
      <w:divBdr>
        <w:top w:val="none" w:sz="0" w:space="0" w:color="auto"/>
        <w:left w:val="none" w:sz="0" w:space="0" w:color="auto"/>
        <w:bottom w:val="none" w:sz="0" w:space="0" w:color="auto"/>
        <w:right w:val="none" w:sz="0" w:space="0" w:color="auto"/>
      </w:divBdr>
    </w:div>
    <w:div w:id="663512233">
      <w:bodyDiv w:val="1"/>
      <w:marLeft w:val="0"/>
      <w:marRight w:val="0"/>
      <w:marTop w:val="0"/>
      <w:marBottom w:val="0"/>
      <w:divBdr>
        <w:top w:val="none" w:sz="0" w:space="0" w:color="auto"/>
        <w:left w:val="none" w:sz="0" w:space="0" w:color="auto"/>
        <w:bottom w:val="none" w:sz="0" w:space="0" w:color="auto"/>
        <w:right w:val="none" w:sz="0" w:space="0" w:color="auto"/>
      </w:divBdr>
    </w:div>
    <w:div w:id="856311086">
      <w:bodyDiv w:val="1"/>
      <w:marLeft w:val="0"/>
      <w:marRight w:val="0"/>
      <w:marTop w:val="0"/>
      <w:marBottom w:val="0"/>
      <w:divBdr>
        <w:top w:val="none" w:sz="0" w:space="0" w:color="auto"/>
        <w:left w:val="none" w:sz="0" w:space="0" w:color="auto"/>
        <w:bottom w:val="none" w:sz="0" w:space="0" w:color="auto"/>
        <w:right w:val="none" w:sz="0" w:space="0" w:color="auto"/>
      </w:divBdr>
    </w:div>
    <w:div w:id="979112458">
      <w:bodyDiv w:val="1"/>
      <w:marLeft w:val="0"/>
      <w:marRight w:val="0"/>
      <w:marTop w:val="0"/>
      <w:marBottom w:val="0"/>
      <w:divBdr>
        <w:top w:val="none" w:sz="0" w:space="0" w:color="auto"/>
        <w:left w:val="none" w:sz="0" w:space="0" w:color="auto"/>
        <w:bottom w:val="none" w:sz="0" w:space="0" w:color="auto"/>
        <w:right w:val="none" w:sz="0" w:space="0" w:color="auto"/>
      </w:divBdr>
    </w:div>
    <w:div w:id="1011876419">
      <w:bodyDiv w:val="1"/>
      <w:marLeft w:val="0"/>
      <w:marRight w:val="0"/>
      <w:marTop w:val="0"/>
      <w:marBottom w:val="0"/>
      <w:divBdr>
        <w:top w:val="none" w:sz="0" w:space="0" w:color="auto"/>
        <w:left w:val="none" w:sz="0" w:space="0" w:color="auto"/>
        <w:bottom w:val="none" w:sz="0" w:space="0" w:color="auto"/>
        <w:right w:val="none" w:sz="0" w:space="0" w:color="auto"/>
      </w:divBdr>
    </w:div>
    <w:div w:id="1785612822">
      <w:bodyDiv w:val="1"/>
      <w:marLeft w:val="0"/>
      <w:marRight w:val="0"/>
      <w:marTop w:val="0"/>
      <w:marBottom w:val="0"/>
      <w:divBdr>
        <w:top w:val="none" w:sz="0" w:space="0" w:color="auto"/>
        <w:left w:val="none" w:sz="0" w:space="0" w:color="auto"/>
        <w:bottom w:val="none" w:sz="0" w:space="0" w:color="auto"/>
        <w:right w:val="none" w:sz="0" w:space="0" w:color="auto"/>
      </w:divBdr>
    </w:div>
    <w:div w:id="1887402296">
      <w:bodyDiv w:val="1"/>
      <w:marLeft w:val="0"/>
      <w:marRight w:val="0"/>
      <w:marTop w:val="0"/>
      <w:marBottom w:val="0"/>
      <w:divBdr>
        <w:top w:val="none" w:sz="0" w:space="0" w:color="auto"/>
        <w:left w:val="none" w:sz="0" w:space="0" w:color="auto"/>
        <w:bottom w:val="none" w:sz="0" w:space="0" w:color="auto"/>
        <w:right w:val="none" w:sz="0" w:space="0" w:color="auto"/>
      </w:divBdr>
    </w:div>
    <w:div w:id="1942377640">
      <w:bodyDiv w:val="1"/>
      <w:marLeft w:val="0"/>
      <w:marRight w:val="0"/>
      <w:marTop w:val="0"/>
      <w:marBottom w:val="0"/>
      <w:divBdr>
        <w:top w:val="none" w:sz="0" w:space="0" w:color="auto"/>
        <w:left w:val="none" w:sz="0" w:space="0" w:color="auto"/>
        <w:bottom w:val="none" w:sz="0" w:space="0" w:color="auto"/>
        <w:right w:val="none" w:sz="0" w:space="0" w:color="auto"/>
      </w:divBdr>
    </w:div>
    <w:div w:id="1996453418">
      <w:bodyDiv w:val="1"/>
      <w:marLeft w:val="0"/>
      <w:marRight w:val="0"/>
      <w:marTop w:val="0"/>
      <w:marBottom w:val="0"/>
      <w:divBdr>
        <w:top w:val="none" w:sz="0" w:space="0" w:color="auto"/>
        <w:left w:val="none" w:sz="0" w:space="0" w:color="auto"/>
        <w:bottom w:val="none" w:sz="0" w:space="0" w:color="auto"/>
        <w:right w:val="none" w:sz="0" w:space="0" w:color="auto"/>
      </w:divBdr>
    </w:div>
    <w:div w:id="20760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1E09-CADC-4967-B524-859CC1F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2017-02-20T09:04:00Z</dcterms:created>
  <dcterms:modified xsi:type="dcterms:W3CDTF">2017-02-20T09:04:00Z</dcterms:modified>
</cp:coreProperties>
</file>